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D273F" w14:textId="77777777" w:rsidR="00255B4E" w:rsidRDefault="00F40899" w:rsidP="00123890">
      <w:pPr>
        <w:pStyle w:val="BodyText"/>
        <w:spacing w:before="73"/>
        <w:ind w:left="5613" w:firstLine="0"/>
      </w:pPr>
      <w:r>
        <w:t>APPROVED BY:</w:t>
      </w:r>
    </w:p>
    <w:p w14:paraId="668D2740" w14:textId="77777777" w:rsidR="00255B4E" w:rsidRDefault="00F40899" w:rsidP="00123890">
      <w:pPr>
        <w:pStyle w:val="BodyText"/>
        <w:ind w:left="5613" w:firstLine="0"/>
      </w:pPr>
      <w:r>
        <w:t>Order of the Director of the Department of National Minorities under the Government of</w:t>
      </w:r>
    </w:p>
    <w:p w14:paraId="668D2741" w14:textId="77777777" w:rsidR="00255B4E" w:rsidRDefault="00F40899" w:rsidP="00123890">
      <w:pPr>
        <w:pStyle w:val="BodyText"/>
        <w:spacing w:before="1"/>
        <w:ind w:left="5613" w:firstLine="0"/>
      </w:pPr>
      <w:r>
        <w:t>the Republic of Lithuania No ĮV-25 of 1 June 2021</w:t>
      </w:r>
    </w:p>
    <w:p w14:paraId="668D2742" w14:textId="77777777" w:rsidR="00255B4E" w:rsidRDefault="00255B4E">
      <w:pPr>
        <w:pStyle w:val="BodyText"/>
        <w:ind w:left="0" w:firstLine="0"/>
        <w:rPr>
          <w:sz w:val="26"/>
        </w:rPr>
      </w:pPr>
    </w:p>
    <w:p w14:paraId="668D2743" w14:textId="77777777" w:rsidR="00255B4E" w:rsidRDefault="00255B4E">
      <w:pPr>
        <w:pStyle w:val="BodyText"/>
        <w:ind w:left="0" w:firstLine="0"/>
        <w:rPr>
          <w:sz w:val="22"/>
        </w:rPr>
      </w:pPr>
    </w:p>
    <w:p w14:paraId="15CCE27B" w14:textId="77777777" w:rsidR="00123890" w:rsidRDefault="00F40899" w:rsidP="00123890">
      <w:pPr>
        <w:pStyle w:val="Heading1"/>
        <w:jc w:val="center"/>
      </w:pPr>
      <w:r>
        <w:t xml:space="preserve">PROVISIONS FOR THE AWARD OF THE PRIZE FOR THE BEST THESIS </w:t>
      </w:r>
    </w:p>
    <w:p w14:paraId="668D2744" w14:textId="05BF4529" w:rsidR="00255B4E" w:rsidRDefault="00F40899" w:rsidP="00123890">
      <w:pPr>
        <w:pStyle w:val="Heading1"/>
        <w:jc w:val="center"/>
      </w:pPr>
      <w:r>
        <w:t>ON THE SUBJECT OF NATIONAL MINORITIES</w:t>
      </w:r>
    </w:p>
    <w:p w14:paraId="668D2745" w14:textId="77777777" w:rsidR="00255B4E" w:rsidRDefault="00255B4E">
      <w:pPr>
        <w:pStyle w:val="BodyText"/>
        <w:ind w:left="0" w:firstLine="0"/>
        <w:rPr>
          <w:b/>
        </w:rPr>
      </w:pPr>
    </w:p>
    <w:p w14:paraId="1395DD87" w14:textId="77777777" w:rsidR="00123890" w:rsidRDefault="00F40899" w:rsidP="00123890">
      <w:pPr>
        <w:ind w:firstLine="916"/>
        <w:jc w:val="center"/>
        <w:rPr>
          <w:b/>
          <w:sz w:val="24"/>
        </w:rPr>
      </w:pPr>
      <w:r>
        <w:rPr>
          <w:b/>
          <w:sz w:val="24"/>
        </w:rPr>
        <w:t xml:space="preserve">CHAPTER I </w:t>
      </w:r>
    </w:p>
    <w:p w14:paraId="668D2746" w14:textId="70193F14" w:rsidR="00255B4E" w:rsidRDefault="00F40899" w:rsidP="00123890">
      <w:pPr>
        <w:ind w:firstLine="916"/>
        <w:jc w:val="center"/>
        <w:rPr>
          <w:b/>
          <w:sz w:val="24"/>
        </w:rPr>
      </w:pPr>
      <w:r>
        <w:rPr>
          <w:b/>
          <w:sz w:val="24"/>
        </w:rPr>
        <w:t>GENERAL PROVISIONS</w:t>
      </w:r>
    </w:p>
    <w:p w14:paraId="668D2747" w14:textId="77777777" w:rsidR="00255B4E" w:rsidRDefault="00255B4E">
      <w:pPr>
        <w:pStyle w:val="BodyText"/>
        <w:ind w:left="0" w:firstLine="0"/>
        <w:rPr>
          <w:b/>
        </w:rPr>
      </w:pPr>
    </w:p>
    <w:p w14:paraId="668D2748" w14:textId="77777777" w:rsidR="00255B4E" w:rsidRDefault="00F40899">
      <w:pPr>
        <w:pStyle w:val="ListParagraph"/>
        <w:numPr>
          <w:ilvl w:val="0"/>
          <w:numId w:val="2"/>
        </w:numPr>
        <w:tabs>
          <w:tab w:val="left" w:pos="1674"/>
        </w:tabs>
        <w:ind w:right="99" w:firstLine="566"/>
        <w:rPr>
          <w:color w:val="010101"/>
          <w:sz w:val="24"/>
        </w:rPr>
      </w:pPr>
      <w:r>
        <w:rPr>
          <w:sz w:val="24"/>
        </w:rPr>
        <w:t xml:space="preserve">The Provisions for the Award of the Prize for the Best Thesis (hereinafter “the Prize”) </w:t>
      </w:r>
      <w:proofErr w:type="gramStart"/>
      <w:r>
        <w:rPr>
          <w:sz w:val="24"/>
        </w:rPr>
        <w:t>on the Subject of National</w:t>
      </w:r>
      <w:proofErr w:type="gramEnd"/>
      <w:r>
        <w:rPr>
          <w:sz w:val="24"/>
        </w:rPr>
        <w:t xml:space="preserve"> Minorities (hereinafter “the Provisions”) regulate the purpose of awarding the Prize, the amount of the Prize, the general requirements for the submission of documents by applicants for the Prize, and the procedure for awarding the Prize.</w:t>
      </w:r>
    </w:p>
    <w:p w14:paraId="668D2749" w14:textId="77777777" w:rsidR="00255B4E" w:rsidRDefault="00F40899">
      <w:pPr>
        <w:pStyle w:val="ListParagraph"/>
        <w:numPr>
          <w:ilvl w:val="0"/>
          <w:numId w:val="2"/>
        </w:numPr>
        <w:tabs>
          <w:tab w:val="left" w:pos="1674"/>
        </w:tabs>
        <w:spacing w:before="1"/>
        <w:ind w:right="105" w:firstLine="566"/>
        <w:rPr>
          <w:color w:val="010101"/>
          <w:sz w:val="24"/>
        </w:rPr>
      </w:pPr>
      <w:r>
        <w:rPr>
          <w:color w:val="010101"/>
          <w:sz w:val="24"/>
        </w:rPr>
        <w:t xml:space="preserve">The Prize shall </w:t>
      </w:r>
      <w:proofErr w:type="gramStart"/>
      <w:r>
        <w:rPr>
          <w:color w:val="010101"/>
          <w:sz w:val="24"/>
        </w:rPr>
        <w:t>be established</w:t>
      </w:r>
      <w:proofErr w:type="gramEnd"/>
      <w:r>
        <w:rPr>
          <w:color w:val="010101"/>
          <w:sz w:val="24"/>
        </w:rPr>
        <w:t xml:space="preserve"> and the competition for its award shall be organised (hereinafter “the Competition”) by the Department for National Minorities under the Government of the Republic of Lithuania (hereinafter “the Department”).</w:t>
      </w:r>
    </w:p>
    <w:p w14:paraId="668D274A" w14:textId="77777777" w:rsidR="00255B4E" w:rsidRDefault="00F40899">
      <w:pPr>
        <w:pStyle w:val="ListParagraph"/>
        <w:numPr>
          <w:ilvl w:val="0"/>
          <w:numId w:val="2"/>
        </w:numPr>
        <w:tabs>
          <w:tab w:val="left" w:pos="1674"/>
        </w:tabs>
        <w:ind w:right="102" w:firstLine="566"/>
        <w:rPr>
          <w:color w:val="010101"/>
          <w:sz w:val="24"/>
        </w:rPr>
      </w:pPr>
      <w:r>
        <w:rPr>
          <w:sz w:val="24"/>
        </w:rPr>
        <w:t>The aim of the prize is to encourage students of Lithuanian and foreign higher education institutions to take an interest in Lithuania's national minorities and to choose themes related to national minorities for their research papers at all levels of study (bachelor's, master's, and doctoral programmes).</w:t>
      </w:r>
    </w:p>
    <w:p w14:paraId="668D274B" w14:textId="77777777" w:rsidR="00255B4E" w:rsidRDefault="00F40899">
      <w:pPr>
        <w:pStyle w:val="ListParagraph"/>
        <w:numPr>
          <w:ilvl w:val="0"/>
          <w:numId w:val="2"/>
        </w:numPr>
        <w:tabs>
          <w:tab w:val="left" w:pos="1674"/>
        </w:tabs>
        <w:ind w:right="102" w:firstLine="566"/>
        <w:rPr>
          <w:color w:val="010101"/>
          <w:sz w:val="24"/>
        </w:rPr>
      </w:pPr>
      <w:r>
        <w:rPr>
          <w:sz w:val="24"/>
        </w:rPr>
        <w:t>The Competition is organised in pursuit of the Department's strategic objective of Harmonious National Relations.</w:t>
      </w:r>
    </w:p>
    <w:p w14:paraId="668D274C" w14:textId="77777777" w:rsidR="00255B4E" w:rsidRDefault="00F40899">
      <w:pPr>
        <w:pStyle w:val="ListParagraph"/>
        <w:numPr>
          <w:ilvl w:val="0"/>
          <w:numId w:val="2"/>
        </w:numPr>
        <w:tabs>
          <w:tab w:val="left" w:pos="1674"/>
        </w:tabs>
        <w:ind w:right="106" w:firstLine="566"/>
        <w:rPr>
          <w:color w:val="010101"/>
          <w:sz w:val="24"/>
        </w:rPr>
      </w:pPr>
      <w:r>
        <w:rPr>
          <w:sz w:val="24"/>
        </w:rPr>
        <w:t>When announcing the Competition, the Department reserves the right to formulate the priority theme of the Competition for that year.</w:t>
      </w:r>
    </w:p>
    <w:p w14:paraId="668D274D" w14:textId="77777777" w:rsidR="00255B4E" w:rsidRDefault="00F40899">
      <w:pPr>
        <w:pStyle w:val="ListParagraph"/>
        <w:numPr>
          <w:ilvl w:val="0"/>
          <w:numId w:val="2"/>
        </w:numPr>
        <w:tabs>
          <w:tab w:val="left" w:pos="1674"/>
        </w:tabs>
        <w:ind w:right="103" w:firstLine="566"/>
        <w:rPr>
          <w:color w:val="010101"/>
          <w:sz w:val="24"/>
        </w:rPr>
      </w:pPr>
      <w:r>
        <w:rPr>
          <w:sz w:val="24"/>
        </w:rPr>
        <w:t xml:space="preserve">Four Prizes shall </w:t>
      </w:r>
      <w:proofErr w:type="gramStart"/>
      <w:r>
        <w:rPr>
          <w:sz w:val="24"/>
        </w:rPr>
        <w:t>be awarded</w:t>
      </w:r>
      <w:proofErr w:type="gramEnd"/>
      <w:r>
        <w:rPr>
          <w:sz w:val="24"/>
        </w:rPr>
        <w:t>: one for defending the bachelor's thesis (nomination group 1), one for defending the master's thesis (nomination group 2), one for a publication of a scientific article on national minorities by a doctoral student (nomination group 3) and one for defending a doctoral thesis (nomination group 4).</w:t>
      </w:r>
    </w:p>
    <w:p w14:paraId="668D274E" w14:textId="77777777" w:rsidR="00255B4E" w:rsidRDefault="00F40899">
      <w:pPr>
        <w:pStyle w:val="ListParagraph"/>
        <w:numPr>
          <w:ilvl w:val="0"/>
          <w:numId w:val="2"/>
        </w:numPr>
        <w:tabs>
          <w:tab w:val="left" w:pos="1674"/>
        </w:tabs>
        <w:ind w:right="100" w:firstLine="566"/>
        <w:rPr>
          <w:color w:val="010101"/>
          <w:sz w:val="24"/>
        </w:rPr>
      </w:pPr>
      <w:r>
        <w:rPr>
          <w:sz w:val="24"/>
        </w:rPr>
        <w:t xml:space="preserve">A Special Prize may </w:t>
      </w:r>
      <w:proofErr w:type="gramStart"/>
      <w:r>
        <w:rPr>
          <w:sz w:val="24"/>
        </w:rPr>
        <w:t>be awarded</w:t>
      </w:r>
      <w:proofErr w:type="gramEnd"/>
      <w:r>
        <w:rPr>
          <w:sz w:val="24"/>
        </w:rPr>
        <w:t xml:space="preserve"> by the decision of the Evaluation Commission (hereinafter “the Special Prize”). The Special Prize </w:t>
      </w:r>
      <w:proofErr w:type="gramStart"/>
      <w:r>
        <w:rPr>
          <w:sz w:val="24"/>
        </w:rPr>
        <w:t>is awarded</w:t>
      </w:r>
      <w:proofErr w:type="gramEnd"/>
      <w:r>
        <w:rPr>
          <w:sz w:val="24"/>
        </w:rPr>
        <w:t xml:space="preserve"> for a research work on a priority theme of the Competition, or for a research work that, according to other criteria, merits an outstanding evaluation by the Commission. The Special Prize may </w:t>
      </w:r>
      <w:proofErr w:type="gramStart"/>
      <w:r>
        <w:rPr>
          <w:sz w:val="24"/>
        </w:rPr>
        <w:t>be awarded</w:t>
      </w:r>
      <w:proofErr w:type="gramEnd"/>
      <w:r>
        <w:rPr>
          <w:sz w:val="24"/>
        </w:rPr>
        <w:t xml:space="preserve"> as a separate nomination or as an additional prize for the research paper with the highest evaluation score in its nomination group.</w:t>
      </w:r>
    </w:p>
    <w:p w14:paraId="668D274F" w14:textId="77777777" w:rsidR="00255B4E" w:rsidRDefault="00F40899">
      <w:pPr>
        <w:pStyle w:val="ListParagraph"/>
        <w:numPr>
          <w:ilvl w:val="0"/>
          <w:numId w:val="2"/>
        </w:numPr>
        <w:tabs>
          <w:tab w:val="left" w:pos="1674"/>
        </w:tabs>
        <w:ind w:right="106" w:firstLine="566"/>
        <w:rPr>
          <w:color w:val="010101"/>
          <w:sz w:val="24"/>
        </w:rPr>
      </w:pPr>
      <w:r>
        <w:rPr>
          <w:sz w:val="24"/>
        </w:rPr>
        <w:t xml:space="preserve">The winner(s) of the Prize shall </w:t>
      </w:r>
      <w:proofErr w:type="gramStart"/>
      <w:r>
        <w:rPr>
          <w:sz w:val="24"/>
        </w:rPr>
        <w:t>be paid</w:t>
      </w:r>
      <w:proofErr w:type="gramEnd"/>
      <w:r>
        <w:rPr>
          <w:sz w:val="24"/>
        </w:rPr>
        <w:t xml:space="preserve"> a cash prize from the State budget appropriations allocated to the Department.</w:t>
      </w:r>
    </w:p>
    <w:p w14:paraId="668D2750" w14:textId="5D202E68" w:rsidR="00255B4E" w:rsidRDefault="00F40899">
      <w:pPr>
        <w:pStyle w:val="ListParagraph"/>
        <w:numPr>
          <w:ilvl w:val="0"/>
          <w:numId w:val="2"/>
        </w:numPr>
        <w:tabs>
          <w:tab w:val="left" w:pos="1816"/>
        </w:tabs>
        <w:ind w:right="101" w:firstLine="566"/>
        <w:rPr>
          <w:color w:val="010101"/>
          <w:sz w:val="24"/>
        </w:rPr>
      </w:pPr>
      <w:r>
        <w:rPr>
          <w:sz w:val="24"/>
        </w:rPr>
        <w:t xml:space="preserve">The amount of the cash prize is: €1000 per winner for the </w:t>
      </w:r>
      <w:r w:rsidR="00307F95">
        <w:rPr>
          <w:sz w:val="24"/>
        </w:rPr>
        <w:t>bachelor’s</w:t>
      </w:r>
      <w:r>
        <w:rPr>
          <w:sz w:val="24"/>
        </w:rPr>
        <w:t xml:space="preserve"> thesis, €2000 per winner for the </w:t>
      </w:r>
      <w:r w:rsidR="00307F95">
        <w:rPr>
          <w:sz w:val="24"/>
        </w:rPr>
        <w:t>master’s</w:t>
      </w:r>
      <w:r>
        <w:rPr>
          <w:sz w:val="24"/>
        </w:rPr>
        <w:t xml:space="preserve"> thesis, €3000 per winner for the defended doctoral thesis, €500 per winner for a publication of a scientific article on national minorities by a doctoral student and €1000 per winner of the Special Prize.</w:t>
      </w:r>
    </w:p>
    <w:p w14:paraId="668D2751" w14:textId="77777777" w:rsidR="00255B4E" w:rsidRDefault="00F40899">
      <w:pPr>
        <w:pStyle w:val="ListParagraph"/>
        <w:numPr>
          <w:ilvl w:val="0"/>
          <w:numId w:val="2"/>
        </w:numPr>
        <w:tabs>
          <w:tab w:val="left" w:pos="1816"/>
        </w:tabs>
        <w:spacing w:before="1"/>
        <w:ind w:right="106" w:firstLine="566"/>
        <w:rPr>
          <w:color w:val="010101"/>
          <w:sz w:val="24"/>
        </w:rPr>
      </w:pPr>
      <w:r>
        <w:rPr>
          <w:sz w:val="24"/>
        </w:rPr>
        <w:t xml:space="preserve">In the case of a team of authors of a thesis, the prize money will </w:t>
      </w:r>
      <w:proofErr w:type="gramStart"/>
      <w:r>
        <w:rPr>
          <w:sz w:val="24"/>
        </w:rPr>
        <w:t>be distributed</w:t>
      </w:r>
      <w:proofErr w:type="gramEnd"/>
      <w:r>
        <w:rPr>
          <w:sz w:val="24"/>
        </w:rPr>
        <w:t xml:space="preserve"> equally among its members.</w:t>
      </w:r>
    </w:p>
    <w:p w14:paraId="668D2752" w14:textId="77777777" w:rsidR="00255B4E" w:rsidRDefault="00F40899" w:rsidP="0030065E">
      <w:pPr>
        <w:pStyle w:val="ListParagraph"/>
        <w:numPr>
          <w:ilvl w:val="0"/>
          <w:numId w:val="2"/>
        </w:numPr>
        <w:tabs>
          <w:tab w:val="left" w:pos="1816"/>
        </w:tabs>
        <w:ind w:right="108" w:firstLine="567"/>
        <w:rPr>
          <w:color w:val="010101"/>
          <w:sz w:val="24"/>
        </w:rPr>
      </w:pPr>
      <w:r>
        <w:rPr>
          <w:sz w:val="24"/>
        </w:rPr>
        <w:t>On the proposal of the Evaluation Commission, the Department may refuse to award a Prize or award only one Prize.</w:t>
      </w:r>
    </w:p>
    <w:p w14:paraId="668D2753" w14:textId="77777777" w:rsidR="00255B4E" w:rsidRDefault="00F40899" w:rsidP="0030065E">
      <w:pPr>
        <w:pStyle w:val="ListParagraph"/>
        <w:numPr>
          <w:ilvl w:val="0"/>
          <w:numId w:val="2"/>
        </w:numPr>
        <w:tabs>
          <w:tab w:val="left" w:pos="1816"/>
        </w:tabs>
        <w:ind w:right="108" w:firstLine="567"/>
        <w:rPr>
          <w:color w:val="010101"/>
          <w:sz w:val="24"/>
        </w:rPr>
      </w:pPr>
      <w:r>
        <w:rPr>
          <w:sz w:val="24"/>
        </w:rPr>
        <w:t>On the proposal of the Evaluation Commission, the Department may award two Special Prizes.</w:t>
      </w:r>
    </w:p>
    <w:p w14:paraId="668D2754" w14:textId="77777777" w:rsidR="00255B4E" w:rsidRPr="0012099C" w:rsidRDefault="00F40899">
      <w:pPr>
        <w:pStyle w:val="ListParagraph"/>
        <w:numPr>
          <w:ilvl w:val="0"/>
          <w:numId w:val="2"/>
        </w:numPr>
        <w:tabs>
          <w:tab w:val="left" w:pos="1816"/>
        </w:tabs>
        <w:ind w:right="110" w:firstLine="566"/>
        <w:rPr>
          <w:color w:val="010101"/>
          <w:sz w:val="24"/>
        </w:rPr>
      </w:pPr>
      <w:r>
        <w:rPr>
          <w:sz w:val="24"/>
        </w:rPr>
        <w:t xml:space="preserve">The final research papers submitted to the Competition may </w:t>
      </w:r>
      <w:proofErr w:type="gramStart"/>
      <w:r>
        <w:rPr>
          <w:sz w:val="24"/>
        </w:rPr>
        <w:t>be carried</w:t>
      </w:r>
      <w:proofErr w:type="gramEnd"/>
      <w:r>
        <w:rPr>
          <w:sz w:val="24"/>
        </w:rPr>
        <w:t xml:space="preserve"> over to the following year's Competition by decision of the Evaluation Commission.</w:t>
      </w:r>
    </w:p>
    <w:p w14:paraId="32D0A310" w14:textId="77777777" w:rsidR="0012099C" w:rsidRDefault="0012099C" w:rsidP="0012099C">
      <w:pPr>
        <w:tabs>
          <w:tab w:val="left" w:pos="1816"/>
        </w:tabs>
        <w:ind w:right="110"/>
        <w:rPr>
          <w:color w:val="010101"/>
          <w:sz w:val="24"/>
        </w:rPr>
      </w:pPr>
    </w:p>
    <w:p w14:paraId="2220C8B0" w14:textId="77777777" w:rsidR="0012099C" w:rsidRDefault="0012099C" w:rsidP="0012099C">
      <w:pPr>
        <w:tabs>
          <w:tab w:val="left" w:pos="1816"/>
        </w:tabs>
        <w:ind w:right="110"/>
        <w:rPr>
          <w:color w:val="010101"/>
          <w:sz w:val="24"/>
        </w:rPr>
      </w:pPr>
    </w:p>
    <w:p w14:paraId="7E432F21" w14:textId="77777777" w:rsidR="0012099C" w:rsidRDefault="0012099C" w:rsidP="0012099C">
      <w:pPr>
        <w:tabs>
          <w:tab w:val="left" w:pos="1816"/>
        </w:tabs>
        <w:ind w:right="110"/>
        <w:rPr>
          <w:color w:val="010101"/>
          <w:sz w:val="24"/>
        </w:rPr>
      </w:pPr>
    </w:p>
    <w:p w14:paraId="69E94419" w14:textId="77777777" w:rsidR="0012099C" w:rsidRPr="0012099C" w:rsidRDefault="0012099C" w:rsidP="0012099C">
      <w:pPr>
        <w:tabs>
          <w:tab w:val="left" w:pos="1816"/>
        </w:tabs>
        <w:ind w:right="110"/>
        <w:rPr>
          <w:color w:val="010101"/>
          <w:sz w:val="24"/>
        </w:rPr>
      </w:pPr>
    </w:p>
    <w:p w14:paraId="668D2755" w14:textId="77777777" w:rsidR="00255B4E" w:rsidRPr="0012099C" w:rsidRDefault="00F40899">
      <w:pPr>
        <w:pStyle w:val="ListParagraph"/>
        <w:numPr>
          <w:ilvl w:val="0"/>
          <w:numId w:val="2"/>
        </w:numPr>
        <w:tabs>
          <w:tab w:val="left" w:pos="1816"/>
        </w:tabs>
        <w:ind w:right="100" w:firstLine="566"/>
        <w:rPr>
          <w:color w:val="010101"/>
          <w:sz w:val="24"/>
        </w:rPr>
      </w:pPr>
      <w:r>
        <w:rPr>
          <w:sz w:val="24"/>
        </w:rPr>
        <w:lastRenderedPageBreak/>
        <w:t xml:space="preserve">The Prize </w:t>
      </w:r>
      <w:proofErr w:type="gramStart"/>
      <w:r>
        <w:rPr>
          <w:sz w:val="24"/>
        </w:rPr>
        <w:t>is awarded</w:t>
      </w:r>
      <w:proofErr w:type="gramEnd"/>
      <w:r>
        <w:rPr>
          <w:sz w:val="24"/>
        </w:rPr>
        <w:t xml:space="preserve"> at the end of the calendar year at a ceremony organised by the Department. The Department reserves the right to organise a conference prior to the award of the Prize at which the winners of the Prize will present their work submitted to the Competition.</w:t>
      </w:r>
    </w:p>
    <w:p w14:paraId="6F943ACF" w14:textId="77777777" w:rsidR="0012099C" w:rsidRPr="0012099C" w:rsidRDefault="0012099C" w:rsidP="0012099C">
      <w:pPr>
        <w:tabs>
          <w:tab w:val="left" w:pos="1816"/>
        </w:tabs>
        <w:ind w:right="100"/>
        <w:rPr>
          <w:color w:val="010101"/>
          <w:sz w:val="24"/>
        </w:rPr>
      </w:pPr>
    </w:p>
    <w:p w14:paraId="668D2757" w14:textId="77777777" w:rsidR="00255B4E" w:rsidRDefault="00F40899" w:rsidP="00123890">
      <w:pPr>
        <w:pStyle w:val="Heading1"/>
        <w:tabs>
          <w:tab w:val="left" w:pos="5515"/>
        </w:tabs>
        <w:spacing w:before="73"/>
        <w:jc w:val="center"/>
      </w:pPr>
      <w:r>
        <w:t>CHAPTER II</w:t>
      </w:r>
    </w:p>
    <w:p w14:paraId="668D2758" w14:textId="77777777" w:rsidR="00255B4E" w:rsidRDefault="00F40899" w:rsidP="00123890">
      <w:pPr>
        <w:jc w:val="center"/>
        <w:rPr>
          <w:b/>
          <w:sz w:val="24"/>
        </w:rPr>
      </w:pPr>
      <w:r>
        <w:rPr>
          <w:b/>
          <w:sz w:val="24"/>
        </w:rPr>
        <w:t>GENERAL REQUIREMENTS FOR THE SUBMISSION OF DOCUMENTS</w:t>
      </w:r>
    </w:p>
    <w:p w14:paraId="668D2759" w14:textId="77777777" w:rsidR="00255B4E" w:rsidRDefault="00255B4E">
      <w:pPr>
        <w:pStyle w:val="BodyText"/>
        <w:spacing w:before="1"/>
        <w:ind w:left="0" w:firstLine="0"/>
        <w:rPr>
          <w:b/>
        </w:rPr>
      </w:pPr>
    </w:p>
    <w:p w14:paraId="668D275A" w14:textId="77777777" w:rsidR="00255B4E" w:rsidRPr="005A6BCB" w:rsidRDefault="00F40899">
      <w:pPr>
        <w:pStyle w:val="ListParagraph"/>
        <w:numPr>
          <w:ilvl w:val="0"/>
          <w:numId w:val="2"/>
        </w:numPr>
        <w:tabs>
          <w:tab w:val="left" w:pos="1816"/>
        </w:tabs>
        <w:ind w:right="103" w:firstLine="566"/>
        <w:rPr>
          <w:color w:val="010101"/>
          <w:sz w:val="24"/>
          <w:szCs w:val="24"/>
        </w:rPr>
      </w:pPr>
      <w:r w:rsidRPr="005A6BCB">
        <w:rPr>
          <w:sz w:val="24"/>
          <w:szCs w:val="24"/>
        </w:rPr>
        <w:t xml:space="preserve">The Competition for the Prize </w:t>
      </w:r>
      <w:proofErr w:type="gramStart"/>
      <w:r w:rsidRPr="005A6BCB">
        <w:rPr>
          <w:sz w:val="24"/>
          <w:szCs w:val="24"/>
        </w:rPr>
        <w:t>is published</w:t>
      </w:r>
      <w:proofErr w:type="gramEnd"/>
      <w:r w:rsidRPr="005A6BCB">
        <w:rPr>
          <w:sz w:val="24"/>
          <w:szCs w:val="24"/>
        </w:rPr>
        <w:t xml:space="preserve"> on the Department's website </w:t>
      </w:r>
      <w:hyperlink r:id="rId5">
        <w:r w:rsidRPr="005A6BCB">
          <w:rPr>
            <w:sz w:val="24"/>
            <w:szCs w:val="24"/>
          </w:rPr>
          <w:t>http://tmde.lrv.lt</w:t>
        </w:r>
      </w:hyperlink>
      <w:r w:rsidRPr="005A6BCB">
        <w:rPr>
          <w:sz w:val="24"/>
          <w:szCs w:val="24"/>
        </w:rPr>
        <w:t xml:space="preserve"> and Facebook page.</w:t>
      </w:r>
    </w:p>
    <w:p w14:paraId="668D275B" w14:textId="77777777" w:rsidR="00255B4E" w:rsidRDefault="00F40899">
      <w:pPr>
        <w:pStyle w:val="ListParagraph"/>
        <w:numPr>
          <w:ilvl w:val="0"/>
          <w:numId w:val="2"/>
        </w:numPr>
        <w:tabs>
          <w:tab w:val="left" w:pos="1816"/>
        </w:tabs>
        <w:ind w:right="105" w:firstLine="566"/>
        <w:rPr>
          <w:color w:val="010101"/>
          <w:sz w:val="24"/>
        </w:rPr>
      </w:pPr>
      <w:r>
        <w:rPr>
          <w:sz w:val="24"/>
        </w:rPr>
        <w:t>The competition is open to graduates of bachelor's, master's and doctoral studies from all Lithuanian and foreign higher education institutions who have defended a thesis in the field of national minority studies within the last two years or who have extensively analysed and integrated aspects of national minorities in a thesis on another topic, as well as to doctoral students who have published a scientific article on the topic of national minorities within the last two years.</w:t>
      </w:r>
    </w:p>
    <w:p w14:paraId="668D275C" w14:textId="77777777" w:rsidR="00255B4E" w:rsidRDefault="00F40899">
      <w:pPr>
        <w:pStyle w:val="ListParagraph"/>
        <w:numPr>
          <w:ilvl w:val="0"/>
          <w:numId w:val="2"/>
        </w:numPr>
        <w:tabs>
          <w:tab w:val="left" w:pos="1816"/>
        </w:tabs>
        <w:ind w:right="102" w:firstLine="566"/>
        <w:rPr>
          <w:color w:val="010101"/>
          <w:sz w:val="24"/>
        </w:rPr>
      </w:pPr>
      <w:r>
        <w:rPr>
          <w:sz w:val="24"/>
        </w:rPr>
        <w:t>Each participant in the Award of the Prize for the Best Thesis On the Subject of National Minorities in Nomination Group 3 (for the best research paper published by a doctoral student) may submit only one Competition Entry.</w:t>
      </w:r>
    </w:p>
    <w:p w14:paraId="668D275D" w14:textId="77777777" w:rsidR="00255B4E" w:rsidRDefault="00F40899">
      <w:pPr>
        <w:pStyle w:val="ListParagraph"/>
        <w:numPr>
          <w:ilvl w:val="0"/>
          <w:numId w:val="2"/>
        </w:numPr>
        <w:tabs>
          <w:tab w:val="left" w:pos="1816"/>
        </w:tabs>
        <w:ind w:right="100" w:firstLine="566"/>
        <w:rPr>
          <w:color w:val="010101"/>
          <w:sz w:val="24"/>
        </w:rPr>
      </w:pPr>
      <w:r>
        <w:rPr>
          <w:sz w:val="24"/>
        </w:rPr>
        <w:t xml:space="preserve">A defended bachelor's, </w:t>
      </w:r>
      <w:proofErr w:type="gramStart"/>
      <w:r>
        <w:rPr>
          <w:sz w:val="24"/>
        </w:rPr>
        <w:t>master's</w:t>
      </w:r>
      <w:proofErr w:type="gramEnd"/>
      <w:r>
        <w:rPr>
          <w:sz w:val="24"/>
        </w:rPr>
        <w:t xml:space="preserve"> or doctoral thesis submitted for the Award of the Prize must have been evaluated. The final grade of the thesis must be at least 8 (good) according to a ten-point grading system, or the equivalent of another grading system.</w:t>
      </w:r>
    </w:p>
    <w:p w14:paraId="668D275E" w14:textId="77777777" w:rsidR="00255B4E" w:rsidRDefault="00F40899">
      <w:pPr>
        <w:pStyle w:val="ListParagraph"/>
        <w:numPr>
          <w:ilvl w:val="0"/>
          <w:numId w:val="2"/>
        </w:numPr>
        <w:tabs>
          <w:tab w:val="left" w:pos="1816"/>
        </w:tabs>
        <w:spacing w:before="1"/>
        <w:ind w:right="102" w:firstLine="566"/>
        <w:rPr>
          <w:b/>
          <w:color w:val="010101"/>
          <w:sz w:val="24"/>
        </w:rPr>
      </w:pPr>
      <w:r>
        <w:rPr>
          <w:sz w:val="24"/>
        </w:rPr>
        <w:t xml:space="preserve">The Competition Entries shall </w:t>
      </w:r>
      <w:proofErr w:type="gramStart"/>
      <w:r>
        <w:rPr>
          <w:sz w:val="24"/>
        </w:rPr>
        <w:t>be submitted</w:t>
      </w:r>
      <w:proofErr w:type="gramEnd"/>
      <w:r>
        <w:rPr>
          <w:sz w:val="24"/>
        </w:rPr>
        <w:t xml:space="preserve"> to the Department between 1 August and 1 September of the current year.</w:t>
      </w:r>
    </w:p>
    <w:p w14:paraId="668D275F" w14:textId="77777777" w:rsidR="00255B4E" w:rsidRDefault="00F40899">
      <w:pPr>
        <w:pStyle w:val="ListParagraph"/>
        <w:numPr>
          <w:ilvl w:val="0"/>
          <w:numId w:val="2"/>
        </w:numPr>
        <w:tabs>
          <w:tab w:val="left" w:pos="1816"/>
        </w:tabs>
        <w:ind w:left="1815" w:hanging="427"/>
        <w:rPr>
          <w:color w:val="010101"/>
          <w:sz w:val="24"/>
        </w:rPr>
      </w:pPr>
      <w:r>
        <w:rPr>
          <w:sz w:val="24"/>
        </w:rPr>
        <w:t xml:space="preserve">The thesis shall </w:t>
      </w:r>
      <w:proofErr w:type="gramStart"/>
      <w:r>
        <w:rPr>
          <w:sz w:val="24"/>
        </w:rPr>
        <w:t>be accompanied</w:t>
      </w:r>
      <w:proofErr w:type="gramEnd"/>
      <w:r>
        <w:rPr>
          <w:sz w:val="24"/>
        </w:rPr>
        <w:t xml:space="preserve"> by the following documents:</w:t>
      </w:r>
    </w:p>
    <w:p w14:paraId="668D2760" w14:textId="24C04271" w:rsidR="00255B4E" w:rsidRDefault="00F40899">
      <w:pPr>
        <w:pStyle w:val="ListParagraph"/>
        <w:numPr>
          <w:ilvl w:val="1"/>
          <w:numId w:val="2"/>
        </w:numPr>
        <w:tabs>
          <w:tab w:val="left" w:pos="1984"/>
        </w:tabs>
        <w:ind w:right="102" w:firstLine="566"/>
        <w:rPr>
          <w:sz w:val="24"/>
        </w:rPr>
      </w:pPr>
      <w:r>
        <w:rPr>
          <w:sz w:val="24"/>
        </w:rPr>
        <w:t xml:space="preserve">A free-form document issued by a higher education institution, or an extract from the minutes of the thesis evaluation committee, certifying that the thesis has </w:t>
      </w:r>
      <w:proofErr w:type="gramStart"/>
      <w:r>
        <w:rPr>
          <w:sz w:val="24"/>
        </w:rPr>
        <w:t>been defended</w:t>
      </w:r>
      <w:proofErr w:type="gramEnd"/>
      <w:r>
        <w:rPr>
          <w:sz w:val="24"/>
        </w:rPr>
        <w:t xml:space="preserve"> and awarded a minimum grade of 8 (good) on a ten-point evaluation system, or the equivalent of another evaluation system. When submitting a published doctoral research article to the Competition, a free-form recommendation, signed by the supervisor, must </w:t>
      </w:r>
      <w:proofErr w:type="gramStart"/>
      <w:r>
        <w:rPr>
          <w:sz w:val="24"/>
        </w:rPr>
        <w:t>be attached</w:t>
      </w:r>
      <w:proofErr w:type="gramEnd"/>
      <w:r>
        <w:rPr>
          <w:sz w:val="24"/>
        </w:rPr>
        <w:t xml:space="preserve">. If the document is not in Lithuanian, it must be translated into Lithuanian, signed by the </w:t>
      </w:r>
      <w:proofErr w:type="gramStart"/>
      <w:r>
        <w:rPr>
          <w:sz w:val="24"/>
        </w:rPr>
        <w:t>translator</w:t>
      </w:r>
      <w:proofErr w:type="gramEnd"/>
      <w:r>
        <w:rPr>
          <w:sz w:val="24"/>
        </w:rPr>
        <w:t xml:space="preserve"> and stamped by the translation agency.</w:t>
      </w:r>
    </w:p>
    <w:p w14:paraId="668D2761" w14:textId="77777777" w:rsidR="00255B4E" w:rsidRDefault="00F40899">
      <w:pPr>
        <w:pStyle w:val="ListParagraph"/>
        <w:numPr>
          <w:ilvl w:val="1"/>
          <w:numId w:val="2"/>
        </w:numPr>
        <w:tabs>
          <w:tab w:val="left" w:pos="1914"/>
        </w:tabs>
        <w:ind w:right="104" w:firstLine="566"/>
        <w:rPr>
          <w:sz w:val="24"/>
        </w:rPr>
      </w:pPr>
      <w:r>
        <w:rPr>
          <w:sz w:val="24"/>
        </w:rPr>
        <w:t xml:space="preserve">If the thesis or published scientific article </w:t>
      </w:r>
      <w:proofErr w:type="gramStart"/>
      <w:r>
        <w:rPr>
          <w:sz w:val="24"/>
        </w:rPr>
        <w:t>is written</w:t>
      </w:r>
      <w:proofErr w:type="gramEnd"/>
      <w:r>
        <w:rPr>
          <w:sz w:val="24"/>
        </w:rPr>
        <w:t xml:space="preserve"> in Lithuanian, an abstract in Lithuanian is provided. The abstract must not exceed 3,000 characters.</w:t>
      </w:r>
    </w:p>
    <w:p w14:paraId="668D2762" w14:textId="77777777" w:rsidR="00255B4E" w:rsidRDefault="00F40899">
      <w:pPr>
        <w:pStyle w:val="ListParagraph"/>
        <w:numPr>
          <w:ilvl w:val="1"/>
          <w:numId w:val="2"/>
        </w:numPr>
        <w:tabs>
          <w:tab w:val="left" w:pos="1938"/>
        </w:tabs>
        <w:ind w:right="104" w:firstLine="566"/>
        <w:rPr>
          <w:sz w:val="24"/>
        </w:rPr>
      </w:pPr>
      <w:r>
        <w:rPr>
          <w:sz w:val="24"/>
        </w:rPr>
        <w:t xml:space="preserve">If the thesis or published scientific article </w:t>
      </w:r>
      <w:proofErr w:type="gramStart"/>
      <w:r>
        <w:rPr>
          <w:sz w:val="24"/>
        </w:rPr>
        <w:t>is not written</w:t>
      </w:r>
      <w:proofErr w:type="gramEnd"/>
      <w:r>
        <w:rPr>
          <w:sz w:val="24"/>
        </w:rPr>
        <w:t xml:space="preserve"> in Lithuanian, an abstract in Lithuanian is provided. The abstract must not exceed 10,000 characters.</w:t>
      </w:r>
    </w:p>
    <w:p w14:paraId="668D2763" w14:textId="77777777" w:rsidR="00255B4E" w:rsidRPr="007C196E" w:rsidRDefault="00F40899">
      <w:pPr>
        <w:pStyle w:val="ListParagraph"/>
        <w:numPr>
          <w:ilvl w:val="0"/>
          <w:numId w:val="2"/>
        </w:numPr>
        <w:tabs>
          <w:tab w:val="left" w:pos="1816"/>
        </w:tabs>
        <w:ind w:right="103" w:firstLine="566"/>
        <w:rPr>
          <w:color w:val="010101"/>
          <w:sz w:val="24"/>
          <w:szCs w:val="24"/>
        </w:rPr>
      </w:pPr>
      <w:r w:rsidRPr="007C196E">
        <w:rPr>
          <w:sz w:val="24"/>
          <w:szCs w:val="24"/>
        </w:rPr>
        <w:t xml:space="preserve">Those wishing to take part in the Competition must register in the Department's electronic system </w:t>
      </w:r>
      <w:hyperlink r:id="rId6">
        <w:r w:rsidRPr="007C196E">
          <w:rPr>
            <w:color w:val="0462C1"/>
            <w:sz w:val="24"/>
            <w:szCs w:val="24"/>
            <w:u w:val="single" w:color="0462C1"/>
          </w:rPr>
          <w:t>https://paraiskos.pantera.dev/</w:t>
        </w:r>
      </w:hyperlink>
      <w:r w:rsidRPr="007C196E">
        <w:rPr>
          <w:sz w:val="24"/>
          <w:szCs w:val="24"/>
        </w:rPr>
        <w:t xml:space="preserve"> and submit their application, together with their entry and the documents referred to in point 20.</w:t>
      </w:r>
    </w:p>
    <w:p w14:paraId="668D2764" w14:textId="77777777" w:rsidR="00255B4E" w:rsidRDefault="00F40899">
      <w:pPr>
        <w:pStyle w:val="ListParagraph"/>
        <w:numPr>
          <w:ilvl w:val="0"/>
          <w:numId w:val="2"/>
        </w:numPr>
        <w:tabs>
          <w:tab w:val="left" w:pos="1816"/>
        </w:tabs>
        <w:ind w:right="111" w:firstLine="566"/>
        <w:rPr>
          <w:color w:val="010101"/>
          <w:sz w:val="24"/>
        </w:rPr>
      </w:pPr>
      <w:r>
        <w:rPr>
          <w:sz w:val="24"/>
        </w:rPr>
        <w:t xml:space="preserve">Contest entries and other related materials will not </w:t>
      </w:r>
      <w:proofErr w:type="gramStart"/>
      <w:r>
        <w:rPr>
          <w:sz w:val="24"/>
        </w:rPr>
        <w:t>be returned</w:t>
      </w:r>
      <w:proofErr w:type="gramEnd"/>
      <w:r>
        <w:rPr>
          <w:sz w:val="24"/>
        </w:rPr>
        <w:t xml:space="preserve"> to the contestants.</w:t>
      </w:r>
    </w:p>
    <w:p w14:paraId="668D2765" w14:textId="47100EDA" w:rsidR="00255B4E" w:rsidRDefault="00F40899">
      <w:pPr>
        <w:pStyle w:val="ListParagraph"/>
        <w:numPr>
          <w:ilvl w:val="0"/>
          <w:numId w:val="2"/>
        </w:numPr>
        <w:tabs>
          <w:tab w:val="left" w:pos="1816"/>
        </w:tabs>
        <w:spacing w:before="1"/>
        <w:ind w:right="104" w:firstLine="566"/>
        <w:rPr>
          <w:color w:val="010101"/>
          <w:sz w:val="24"/>
        </w:rPr>
      </w:pPr>
      <w:r>
        <w:rPr>
          <w:sz w:val="24"/>
        </w:rPr>
        <w:t>Additional information is available from the Department's National Minorities Policy Analysis and Information Division. Telephones for enquiries: (8 672) 62 420, (8 5) 203 4837, (8</w:t>
      </w:r>
      <w:r w:rsidR="001B1C1B">
        <w:rPr>
          <w:sz w:val="24"/>
        </w:rPr>
        <w:t> </w:t>
      </w:r>
      <w:r>
        <w:rPr>
          <w:sz w:val="24"/>
        </w:rPr>
        <w:t>5) 219 4830.</w:t>
      </w:r>
    </w:p>
    <w:p w14:paraId="668D2766" w14:textId="77777777" w:rsidR="00255B4E" w:rsidRDefault="00255B4E">
      <w:pPr>
        <w:pStyle w:val="BodyText"/>
        <w:ind w:left="0" w:firstLine="0"/>
      </w:pPr>
    </w:p>
    <w:p w14:paraId="668D2767" w14:textId="77777777" w:rsidR="00255B4E" w:rsidRDefault="00F40899" w:rsidP="009C7C67">
      <w:pPr>
        <w:pStyle w:val="Heading1"/>
        <w:tabs>
          <w:tab w:val="left" w:pos="5548"/>
        </w:tabs>
        <w:jc w:val="center"/>
      </w:pPr>
      <w:r>
        <w:t>CHAPTER III</w:t>
      </w:r>
    </w:p>
    <w:p w14:paraId="668D2768" w14:textId="77777777" w:rsidR="00255B4E" w:rsidRDefault="00F40899" w:rsidP="009C7C67">
      <w:pPr>
        <w:jc w:val="center"/>
        <w:rPr>
          <w:b/>
          <w:sz w:val="24"/>
        </w:rPr>
      </w:pPr>
      <w:r>
        <w:rPr>
          <w:b/>
          <w:sz w:val="24"/>
        </w:rPr>
        <w:t>PROCEDURES AND CRITERIA FOR THE ASSESSMENT OF THESES</w:t>
      </w:r>
    </w:p>
    <w:p w14:paraId="668D2769" w14:textId="77777777" w:rsidR="00255B4E" w:rsidRDefault="00255B4E">
      <w:pPr>
        <w:pStyle w:val="BodyText"/>
        <w:ind w:left="0" w:firstLine="0"/>
        <w:rPr>
          <w:b/>
        </w:rPr>
      </w:pPr>
    </w:p>
    <w:p w14:paraId="668D276A" w14:textId="77777777" w:rsidR="00255B4E" w:rsidRDefault="00F40899">
      <w:pPr>
        <w:pStyle w:val="ListParagraph"/>
        <w:numPr>
          <w:ilvl w:val="0"/>
          <w:numId w:val="2"/>
        </w:numPr>
        <w:tabs>
          <w:tab w:val="left" w:pos="1816"/>
        </w:tabs>
        <w:ind w:right="104" w:firstLine="566"/>
        <w:rPr>
          <w:color w:val="010101"/>
          <w:sz w:val="24"/>
        </w:rPr>
      </w:pPr>
      <w:r>
        <w:rPr>
          <w:sz w:val="24"/>
        </w:rPr>
        <w:t>The Academic Council under the Department of National Minorities under the Government of the Republic of Lithuania (hereinafter “the Evaluation Commission”) shall evaluate the research papers submitted for the Competition and make recommendations to the Director of the Department on the winner(s) of the Prize.</w:t>
      </w:r>
    </w:p>
    <w:p w14:paraId="668D276B" w14:textId="77777777" w:rsidR="00255B4E" w:rsidRDefault="00F40899">
      <w:pPr>
        <w:pStyle w:val="ListParagraph"/>
        <w:numPr>
          <w:ilvl w:val="0"/>
          <w:numId w:val="2"/>
        </w:numPr>
        <w:tabs>
          <w:tab w:val="left" w:pos="1816"/>
        </w:tabs>
        <w:ind w:right="108" w:firstLine="566"/>
        <w:rPr>
          <w:color w:val="010101"/>
          <w:sz w:val="24"/>
        </w:rPr>
      </w:pPr>
      <w:r>
        <w:rPr>
          <w:sz w:val="24"/>
        </w:rPr>
        <w:t xml:space="preserve">The work of the members of the Evaluation Commission shall be organised in such a way that at least </w:t>
      </w:r>
      <w:proofErr w:type="gramStart"/>
      <w:r>
        <w:rPr>
          <w:sz w:val="24"/>
        </w:rPr>
        <w:t>3</w:t>
      </w:r>
      <w:proofErr w:type="gramEnd"/>
      <w:r>
        <w:rPr>
          <w:sz w:val="24"/>
        </w:rPr>
        <w:t xml:space="preserve"> members of the Evaluation Commission evaluate each entry submitted to the Competition.</w:t>
      </w:r>
    </w:p>
    <w:p w14:paraId="668D276C" w14:textId="77777777" w:rsidR="00255B4E" w:rsidRDefault="00255B4E">
      <w:pPr>
        <w:jc w:val="both"/>
        <w:rPr>
          <w:sz w:val="24"/>
        </w:rPr>
        <w:sectPr w:rsidR="00255B4E">
          <w:pgSz w:w="11910" w:h="16840"/>
          <w:pgMar w:top="1040" w:right="460" w:bottom="280" w:left="880" w:header="720" w:footer="720" w:gutter="0"/>
          <w:cols w:space="720"/>
        </w:sectPr>
      </w:pPr>
    </w:p>
    <w:p w14:paraId="668D276D" w14:textId="77777777" w:rsidR="00255B4E" w:rsidRDefault="00F40899">
      <w:pPr>
        <w:pStyle w:val="ListParagraph"/>
        <w:numPr>
          <w:ilvl w:val="0"/>
          <w:numId w:val="2"/>
        </w:numPr>
        <w:tabs>
          <w:tab w:val="left" w:pos="1816"/>
        </w:tabs>
        <w:spacing w:before="73"/>
        <w:ind w:right="104" w:firstLine="566"/>
        <w:rPr>
          <w:color w:val="010101"/>
          <w:sz w:val="24"/>
        </w:rPr>
      </w:pPr>
      <w:r>
        <w:rPr>
          <w:sz w:val="24"/>
        </w:rPr>
        <w:lastRenderedPageBreak/>
        <w:t xml:space="preserve">A member of the Evaluation Commission may express an evaluation of entries other than those to which he/she is assigned; the conclusions expressed shall be </w:t>
      </w:r>
      <w:proofErr w:type="gramStart"/>
      <w:r>
        <w:rPr>
          <w:sz w:val="24"/>
        </w:rPr>
        <w:t>taken into account</w:t>
      </w:r>
      <w:proofErr w:type="gramEnd"/>
      <w:r>
        <w:rPr>
          <w:sz w:val="24"/>
        </w:rPr>
        <w:t xml:space="preserve"> in the overall conclusions of the Evaluation Commission on the Prize winners.</w:t>
      </w:r>
    </w:p>
    <w:p w14:paraId="668D276E" w14:textId="77777777" w:rsidR="00255B4E" w:rsidRDefault="00F40899" w:rsidP="004C0AC2">
      <w:pPr>
        <w:pStyle w:val="ListParagraph"/>
        <w:numPr>
          <w:ilvl w:val="0"/>
          <w:numId w:val="2"/>
        </w:numPr>
        <w:tabs>
          <w:tab w:val="left" w:pos="1816"/>
        </w:tabs>
        <w:spacing w:before="1"/>
        <w:ind w:right="102" w:firstLine="567"/>
        <w:rPr>
          <w:color w:val="010101"/>
          <w:sz w:val="24"/>
        </w:rPr>
      </w:pPr>
      <w:r>
        <w:rPr>
          <w:sz w:val="24"/>
        </w:rPr>
        <w:t xml:space="preserve">Entries submitted to the Competition shall </w:t>
      </w:r>
      <w:proofErr w:type="gramStart"/>
      <w:r>
        <w:rPr>
          <w:sz w:val="24"/>
        </w:rPr>
        <w:t>be assessed</w:t>
      </w:r>
      <w:proofErr w:type="gramEnd"/>
      <w:r>
        <w:rPr>
          <w:sz w:val="24"/>
        </w:rPr>
        <w:t xml:space="preserve"> according to the following criteria for each nomination group:</w:t>
      </w:r>
    </w:p>
    <w:p w14:paraId="668D276F" w14:textId="77777777" w:rsidR="00255B4E" w:rsidRDefault="00F40899">
      <w:pPr>
        <w:pStyle w:val="ListParagraph"/>
        <w:numPr>
          <w:ilvl w:val="1"/>
          <w:numId w:val="2"/>
        </w:numPr>
        <w:tabs>
          <w:tab w:val="left" w:pos="1955"/>
        </w:tabs>
        <w:ind w:left="1954" w:hanging="566"/>
        <w:rPr>
          <w:sz w:val="24"/>
        </w:rPr>
      </w:pPr>
      <w:r>
        <w:rPr>
          <w:sz w:val="24"/>
        </w:rPr>
        <w:t>Formulation and implementation of the aim and objectives of the thesis</w:t>
      </w:r>
    </w:p>
    <w:p w14:paraId="668D2770" w14:textId="77777777" w:rsidR="00255B4E" w:rsidRDefault="00F40899" w:rsidP="004C0AC2">
      <w:pPr>
        <w:pStyle w:val="ListParagraph"/>
        <w:numPr>
          <w:ilvl w:val="1"/>
          <w:numId w:val="2"/>
        </w:numPr>
        <w:tabs>
          <w:tab w:val="left" w:pos="1955"/>
        </w:tabs>
        <w:ind w:right="102" w:firstLine="567"/>
        <w:rPr>
          <w:sz w:val="24"/>
        </w:rPr>
      </w:pPr>
      <w:r>
        <w:rPr>
          <w:sz w:val="24"/>
        </w:rPr>
        <w:t>Investigation of the links between the issue and the topic of Lithuania's national minorities</w:t>
      </w:r>
    </w:p>
    <w:p w14:paraId="668D2771" w14:textId="77777777" w:rsidR="00255B4E" w:rsidRDefault="00F40899">
      <w:pPr>
        <w:pStyle w:val="ListParagraph"/>
        <w:numPr>
          <w:ilvl w:val="1"/>
          <w:numId w:val="2"/>
        </w:numPr>
        <w:tabs>
          <w:tab w:val="left" w:pos="1955"/>
        </w:tabs>
        <w:ind w:left="1954" w:hanging="566"/>
        <w:rPr>
          <w:sz w:val="24"/>
        </w:rPr>
      </w:pPr>
      <w:r>
        <w:rPr>
          <w:sz w:val="24"/>
        </w:rPr>
        <w:t xml:space="preserve">Originality, </w:t>
      </w:r>
      <w:proofErr w:type="gramStart"/>
      <w:r>
        <w:rPr>
          <w:sz w:val="24"/>
        </w:rPr>
        <w:t>relevance</w:t>
      </w:r>
      <w:proofErr w:type="gramEnd"/>
      <w:r>
        <w:rPr>
          <w:sz w:val="24"/>
        </w:rPr>
        <w:t xml:space="preserve"> and significance of the research presented</w:t>
      </w:r>
    </w:p>
    <w:p w14:paraId="668D2772" w14:textId="77777777" w:rsidR="00255B4E" w:rsidRDefault="00F40899" w:rsidP="001B1C1B">
      <w:pPr>
        <w:pStyle w:val="ListParagraph"/>
        <w:numPr>
          <w:ilvl w:val="1"/>
          <w:numId w:val="2"/>
        </w:numPr>
        <w:tabs>
          <w:tab w:val="left" w:pos="1955"/>
        </w:tabs>
        <w:ind w:right="102" w:firstLine="567"/>
        <w:rPr>
          <w:sz w:val="24"/>
        </w:rPr>
      </w:pPr>
      <w:r>
        <w:rPr>
          <w:sz w:val="24"/>
        </w:rPr>
        <w:t xml:space="preserve">An assessment of the degree to which the problem(s) </w:t>
      </w:r>
      <w:proofErr w:type="gramStart"/>
      <w:r>
        <w:rPr>
          <w:sz w:val="24"/>
        </w:rPr>
        <w:t>being analysed</w:t>
      </w:r>
      <w:proofErr w:type="gramEnd"/>
      <w:r>
        <w:rPr>
          <w:sz w:val="24"/>
        </w:rPr>
        <w:t xml:space="preserve"> have been explored in the work of other scholars, the scientific value of the sources used, the research methods and the results of the work</w:t>
      </w:r>
    </w:p>
    <w:p w14:paraId="668D2773" w14:textId="77777777" w:rsidR="00255B4E" w:rsidRDefault="00F40899">
      <w:pPr>
        <w:pStyle w:val="ListParagraph"/>
        <w:numPr>
          <w:ilvl w:val="1"/>
          <w:numId w:val="2"/>
        </w:numPr>
        <w:tabs>
          <w:tab w:val="left" w:pos="1955"/>
        </w:tabs>
        <w:ind w:left="1954" w:hanging="566"/>
        <w:rPr>
          <w:sz w:val="24"/>
        </w:rPr>
      </w:pPr>
      <w:r>
        <w:rPr>
          <w:sz w:val="24"/>
        </w:rPr>
        <w:t>Clarity, validity and practical relevance of the conclusions and proposals</w:t>
      </w:r>
    </w:p>
    <w:p w14:paraId="668D2774" w14:textId="77777777" w:rsidR="00255B4E" w:rsidRDefault="00F40899">
      <w:pPr>
        <w:pStyle w:val="ListParagraph"/>
        <w:numPr>
          <w:ilvl w:val="1"/>
          <w:numId w:val="2"/>
        </w:numPr>
        <w:tabs>
          <w:tab w:val="left" w:pos="1955"/>
        </w:tabs>
        <w:ind w:left="1954" w:hanging="566"/>
        <w:rPr>
          <w:sz w:val="24"/>
        </w:rPr>
      </w:pPr>
      <w:r>
        <w:rPr>
          <w:sz w:val="24"/>
        </w:rPr>
        <w:t>Positive impact and potential societal benefits of the research</w:t>
      </w:r>
    </w:p>
    <w:p w14:paraId="668D2775" w14:textId="77777777" w:rsidR="00255B4E" w:rsidRDefault="00F40899">
      <w:pPr>
        <w:pStyle w:val="ListParagraph"/>
        <w:numPr>
          <w:ilvl w:val="1"/>
          <w:numId w:val="2"/>
        </w:numPr>
        <w:tabs>
          <w:tab w:val="left" w:pos="1955"/>
        </w:tabs>
        <w:ind w:left="1954" w:hanging="566"/>
        <w:rPr>
          <w:sz w:val="24"/>
        </w:rPr>
      </w:pPr>
      <w:r>
        <w:rPr>
          <w:sz w:val="24"/>
        </w:rPr>
        <w:t>Opportunities for developing the research</w:t>
      </w:r>
    </w:p>
    <w:p w14:paraId="668D2776" w14:textId="77777777" w:rsidR="00255B4E" w:rsidRDefault="00F40899">
      <w:pPr>
        <w:pStyle w:val="ListParagraph"/>
        <w:numPr>
          <w:ilvl w:val="1"/>
          <w:numId w:val="2"/>
        </w:numPr>
        <w:tabs>
          <w:tab w:val="left" w:pos="1955"/>
        </w:tabs>
        <w:ind w:left="1954" w:hanging="566"/>
        <w:rPr>
          <w:sz w:val="24"/>
        </w:rPr>
      </w:pPr>
      <w:r>
        <w:rPr>
          <w:sz w:val="24"/>
        </w:rPr>
        <w:t>Consistency and logic in presentation, literacy, orderliness of work</w:t>
      </w:r>
    </w:p>
    <w:p w14:paraId="668D2777" w14:textId="77777777" w:rsidR="00255B4E" w:rsidRDefault="00F40899">
      <w:pPr>
        <w:pStyle w:val="ListParagraph"/>
        <w:numPr>
          <w:ilvl w:val="0"/>
          <w:numId w:val="2"/>
        </w:numPr>
        <w:tabs>
          <w:tab w:val="left" w:pos="1816"/>
        </w:tabs>
        <w:ind w:right="103" w:firstLine="566"/>
        <w:rPr>
          <w:color w:val="010101"/>
          <w:sz w:val="24"/>
        </w:rPr>
      </w:pPr>
      <w:r>
        <w:rPr>
          <w:sz w:val="24"/>
        </w:rPr>
        <w:t xml:space="preserve">When evaluating the research work according to the criteria set out in point </w:t>
      </w:r>
      <w:proofErr w:type="gramStart"/>
      <w:r>
        <w:rPr>
          <w:sz w:val="24"/>
        </w:rPr>
        <w:t>27</w:t>
      </w:r>
      <w:proofErr w:type="gramEnd"/>
      <w:r>
        <w:rPr>
          <w:sz w:val="24"/>
        </w:rPr>
        <w:t xml:space="preserve"> of these Provisions, a member of the Evaluation Commission shall fill in the questionnaire for the evaluation of the entries in the prescribed form (Annex 1) and submit it to the Department before the meeting of the evaluation of the entries.</w:t>
      </w:r>
    </w:p>
    <w:p w14:paraId="668D2778" w14:textId="77777777" w:rsidR="00255B4E" w:rsidRDefault="00F40899">
      <w:pPr>
        <w:pStyle w:val="ListParagraph"/>
        <w:numPr>
          <w:ilvl w:val="0"/>
          <w:numId w:val="2"/>
        </w:numPr>
        <w:tabs>
          <w:tab w:val="left" w:pos="1816"/>
        </w:tabs>
        <w:spacing w:before="1"/>
        <w:ind w:right="105" w:firstLine="566"/>
        <w:rPr>
          <w:color w:val="010101"/>
          <w:sz w:val="24"/>
        </w:rPr>
      </w:pPr>
      <w:r>
        <w:rPr>
          <w:sz w:val="24"/>
        </w:rPr>
        <w:t>The Evaluation Commission, having evaluated the entries submitted for the Competition, shall submit its conclusions on the nominees for the Prize in each group of nominations and on the award of the Special Prize to the Director of the Department before 15 November of the current year.</w:t>
      </w:r>
    </w:p>
    <w:p w14:paraId="668D2779" w14:textId="77777777" w:rsidR="00255B4E" w:rsidRDefault="00F40899">
      <w:pPr>
        <w:pStyle w:val="ListParagraph"/>
        <w:numPr>
          <w:ilvl w:val="0"/>
          <w:numId w:val="2"/>
        </w:numPr>
        <w:tabs>
          <w:tab w:val="left" w:pos="1816"/>
        </w:tabs>
        <w:ind w:right="109" w:firstLine="566"/>
        <w:rPr>
          <w:color w:val="010101"/>
          <w:sz w:val="24"/>
        </w:rPr>
      </w:pPr>
      <w:r>
        <w:rPr>
          <w:sz w:val="24"/>
        </w:rPr>
        <w:t>The meetings of the Evaluation Commission shall be organised in accordance with points 9-19 of the Regulations of the Academic Council approved by Order of the Director of the Department No ĮV-42 of 23 May 2016.</w:t>
      </w:r>
    </w:p>
    <w:p w14:paraId="668D277A" w14:textId="77777777" w:rsidR="00255B4E" w:rsidRDefault="00255B4E" w:rsidP="009C7C67">
      <w:pPr>
        <w:pStyle w:val="BodyText"/>
        <w:ind w:left="0" w:firstLine="0"/>
        <w:jc w:val="center"/>
      </w:pPr>
    </w:p>
    <w:p w14:paraId="668D277B" w14:textId="77777777" w:rsidR="00255B4E" w:rsidRDefault="00F40899" w:rsidP="009C7C67">
      <w:pPr>
        <w:pStyle w:val="Heading1"/>
        <w:tabs>
          <w:tab w:val="left" w:pos="5271"/>
        </w:tabs>
        <w:jc w:val="center"/>
      </w:pPr>
      <w:r>
        <w:t>CHAPTER IV</w:t>
      </w:r>
    </w:p>
    <w:p w14:paraId="668D277C" w14:textId="77777777" w:rsidR="00255B4E" w:rsidRDefault="00F40899" w:rsidP="009C7C67">
      <w:pPr>
        <w:jc w:val="center"/>
        <w:rPr>
          <w:b/>
          <w:sz w:val="24"/>
        </w:rPr>
      </w:pPr>
      <w:r>
        <w:rPr>
          <w:b/>
          <w:sz w:val="24"/>
        </w:rPr>
        <w:t>PROCEDURE FOR AWARDING OF PRIZES</w:t>
      </w:r>
    </w:p>
    <w:p w14:paraId="668D277D" w14:textId="77777777" w:rsidR="00255B4E" w:rsidRDefault="00255B4E">
      <w:pPr>
        <w:pStyle w:val="BodyText"/>
        <w:ind w:left="0" w:firstLine="0"/>
        <w:rPr>
          <w:b/>
        </w:rPr>
      </w:pPr>
    </w:p>
    <w:p w14:paraId="668D277E" w14:textId="77777777" w:rsidR="00255B4E" w:rsidRDefault="00F40899">
      <w:pPr>
        <w:pStyle w:val="ListParagraph"/>
        <w:numPr>
          <w:ilvl w:val="0"/>
          <w:numId w:val="2"/>
        </w:numPr>
        <w:tabs>
          <w:tab w:val="left" w:pos="1799"/>
        </w:tabs>
        <w:ind w:right="104" w:firstLine="566"/>
        <w:rPr>
          <w:sz w:val="24"/>
        </w:rPr>
      </w:pPr>
      <w:r>
        <w:rPr>
          <w:sz w:val="24"/>
        </w:rPr>
        <w:t xml:space="preserve">The prizes are awarded by order of the Director of the Department, </w:t>
      </w:r>
      <w:proofErr w:type="gramStart"/>
      <w:r>
        <w:rPr>
          <w:sz w:val="24"/>
        </w:rPr>
        <w:t>taking into account</w:t>
      </w:r>
      <w:proofErr w:type="gramEnd"/>
      <w:r>
        <w:rPr>
          <w:sz w:val="24"/>
        </w:rPr>
        <w:t xml:space="preserve"> the recommendation of the Evaluation Commission. The winners </w:t>
      </w:r>
      <w:proofErr w:type="gramStart"/>
      <w:r>
        <w:rPr>
          <w:sz w:val="24"/>
        </w:rPr>
        <w:t>are announced</w:t>
      </w:r>
      <w:proofErr w:type="gramEnd"/>
      <w:r>
        <w:rPr>
          <w:sz w:val="24"/>
        </w:rPr>
        <w:t xml:space="preserve"> by 15 December of the current year.</w:t>
      </w:r>
    </w:p>
    <w:p w14:paraId="668D277F" w14:textId="77777777" w:rsidR="00255B4E" w:rsidRDefault="00F40899">
      <w:pPr>
        <w:pStyle w:val="ListParagraph"/>
        <w:numPr>
          <w:ilvl w:val="0"/>
          <w:numId w:val="2"/>
        </w:numPr>
        <w:tabs>
          <w:tab w:val="left" w:pos="1833"/>
        </w:tabs>
        <w:ind w:right="100" w:firstLine="566"/>
        <w:rPr>
          <w:sz w:val="24"/>
        </w:rPr>
      </w:pPr>
      <w:r>
        <w:rPr>
          <w:sz w:val="24"/>
        </w:rPr>
        <w:t>The Evaluation Commission may propose to the Director of the Department not to award the Prize if the works submitted do not comply with the requirements of these Provisions.</w:t>
      </w:r>
    </w:p>
    <w:p w14:paraId="668D2780" w14:textId="77777777" w:rsidR="00255B4E" w:rsidRDefault="00F40899">
      <w:pPr>
        <w:pStyle w:val="ListParagraph"/>
        <w:numPr>
          <w:ilvl w:val="0"/>
          <w:numId w:val="2"/>
        </w:numPr>
        <w:tabs>
          <w:tab w:val="left" w:pos="1806"/>
        </w:tabs>
        <w:ind w:right="109" w:firstLine="566"/>
        <w:rPr>
          <w:sz w:val="24"/>
        </w:rPr>
      </w:pPr>
      <w:r>
        <w:rPr>
          <w:sz w:val="24"/>
        </w:rPr>
        <w:t xml:space="preserve">On the proposal of the Evaluation Commission, participants may </w:t>
      </w:r>
      <w:proofErr w:type="gramStart"/>
      <w:r>
        <w:rPr>
          <w:sz w:val="24"/>
        </w:rPr>
        <w:t>be awarded</w:t>
      </w:r>
      <w:proofErr w:type="gramEnd"/>
      <w:r>
        <w:rPr>
          <w:sz w:val="24"/>
        </w:rPr>
        <w:t xml:space="preserve"> certificates of appreciation by the Director of the Department.</w:t>
      </w:r>
    </w:p>
    <w:p w14:paraId="668D2781" w14:textId="77777777" w:rsidR="00255B4E" w:rsidRDefault="00F40899">
      <w:pPr>
        <w:pStyle w:val="ListParagraph"/>
        <w:numPr>
          <w:ilvl w:val="0"/>
          <w:numId w:val="2"/>
        </w:numPr>
        <w:tabs>
          <w:tab w:val="left" w:pos="1773"/>
        </w:tabs>
        <w:ind w:right="103" w:firstLine="566"/>
        <w:rPr>
          <w:sz w:val="24"/>
        </w:rPr>
      </w:pPr>
      <w:r>
        <w:rPr>
          <w:sz w:val="24"/>
        </w:rPr>
        <w:t xml:space="preserve">Within </w:t>
      </w:r>
      <w:proofErr w:type="gramStart"/>
      <w:r>
        <w:rPr>
          <w:sz w:val="24"/>
        </w:rPr>
        <w:t>20</w:t>
      </w:r>
      <w:proofErr w:type="gramEnd"/>
      <w:r>
        <w:rPr>
          <w:sz w:val="24"/>
        </w:rPr>
        <w:t xml:space="preserve"> calendar days from the date of the announcement of the Prize Winners, the Prize Winners shall undertake to submit a popular science article on the subject of their thesis, together with an index of the sources of the scientific literature used in the thesis, which the Department shall have the right to publish. The length of an article with an index of references used in the work must not be less than 20,000 characters.</w:t>
      </w:r>
    </w:p>
    <w:p w14:paraId="668D2782" w14:textId="77777777" w:rsidR="00255B4E" w:rsidRDefault="00255B4E">
      <w:pPr>
        <w:pStyle w:val="BodyText"/>
        <w:ind w:left="0" w:firstLine="0"/>
      </w:pPr>
    </w:p>
    <w:p w14:paraId="2C062A97" w14:textId="77777777" w:rsidR="009C7C67" w:rsidRDefault="00F40899" w:rsidP="009C7C67">
      <w:pPr>
        <w:pStyle w:val="Heading1"/>
        <w:tabs>
          <w:tab w:val="left" w:pos="5225"/>
        </w:tabs>
        <w:spacing w:before="1"/>
        <w:jc w:val="center"/>
      </w:pPr>
      <w:r>
        <w:t xml:space="preserve">CHAPTER V </w:t>
      </w:r>
    </w:p>
    <w:p w14:paraId="668D2783" w14:textId="6CFFCA70" w:rsidR="00255B4E" w:rsidRDefault="00F40899" w:rsidP="009C7C67">
      <w:pPr>
        <w:pStyle w:val="Heading1"/>
        <w:tabs>
          <w:tab w:val="left" w:pos="5225"/>
        </w:tabs>
        <w:spacing w:before="1"/>
        <w:jc w:val="center"/>
      </w:pPr>
      <w:r>
        <w:t>FINAL PROVISIONS</w:t>
      </w:r>
    </w:p>
    <w:p w14:paraId="668D2784" w14:textId="77777777" w:rsidR="00255B4E" w:rsidRDefault="00255B4E">
      <w:pPr>
        <w:pStyle w:val="BodyText"/>
        <w:ind w:left="0" w:firstLine="0"/>
        <w:rPr>
          <w:b/>
        </w:rPr>
      </w:pPr>
    </w:p>
    <w:p w14:paraId="668D2785" w14:textId="77777777" w:rsidR="00255B4E" w:rsidRDefault="00F40899">
      <w:pPr>
        <w:pStyle w:val="ListParagraph"/>
        <w:numPr>
          <w:ilvl w:val="0"/>
          <w:numId w:val="2"/>
        </w:numPr>
        <w:tabs>
          <w:tab w:val="left" w:pos="1816"/>
        </w:tabs>
        <w:ind w:right="107" w:firstLine="566"/>
        <w:rPr>
          <w:sz w:val="24"/>
        </w:rPr>
      </w:pPr>
      <w:r>
        <w:rPr>
          <w:sz w:val="24"/>
        </w:rPr>
        <w:t xml:space="preserve">The information on the Prize Winners </w:t>
      </w:r>
      <w:proofErr w:type="gramStart"/>
      <w:r>
        <w:rPr>
          <w:sz w:val="24"/>
        </w:rPr>
        <w:t>is published</w:t>
      </w:r>
      <w:proofErr w:type="gramEnd"/>
      <w:r>
        <w:rPr>
          <w:sz w:val="24"/>
        </w:rPr>
        <w:t xml:space="preserve"> on the Department's website </w:t>
      </w:r>
      <w:hyperlink r:id="rId7">
        <w:r>
          <w:rPr>
            <w:sz w:val="24"/>
          </w:rPr>
          <w:t>http://tmde.lrv.lt</w:t>
        </w:r>
      </w:hyperlink>
      <w:r>
        <w:t xml:space="preserve"> and Facebook page.</w:t>
      </w:r>
      <w:r>
        <w:rPr>
          <w:sz w:val="24"/>
        </w:rPr>
        <w:t xml:space="preserve"> The Department also promotes the dissemination of this information in Lithuanian higher education institutions.</w:t>
      </w:r>
    </w:p>
    <w:p w14:paraId="668D2786" w14:textId="77777777" w:rsidR="00255B4E" w:rsidRDefault="00F40899">
      <w:pPr>
        <w:pStyle w:val="ListParagraph"/>
        <w:numPr>
          <w:ilvl w:val="0"/>
          <w:numId w:val="2"/>
        </w:numPr>
        <w:tabs>
          <w:tab w:val="left" w:pos="1871"/>
        </w:tabs>
        <w:ind w:right="102" w:firstLine="566"/>
        <w:rPr>
          <w:sz w:val="24"/>
        </w:rPr>
      </w:pPr>
      <w:r>
        <w:rPr>
          <w:sz w:val="24"/>
        </w:rPr>
        <w:t>The Department reserves the right to use information about the entries submitted to the Competition and the information contained therein in its reports, presentations, and other publicity channels for the Department's activities, indicating the authors and co-authors of those entries.</w:t>
      </w:r>
    </w:p>
    <w:p w14:paraId="5445FBB0" w14:textId="77777777" w:rsidR="00F40899" w:rsidRDefault="00F40899" w:rsidP="00F40899">
      <w:pPr>
        <w:tabs>
          <w:tab w:val="left" w:pos="1871"/>
        </w:tabs>
        <w:ind w:right="102"/>
        <w:rPr>
          <w:sz w:val="24"/>
        </w:rPr>
      </w:pPr>
    </w:p>
    <w:p w14:paraId="42CFFADE" w14:textId="77777777" w:rsidR="00F40899" w:rsidRPr="00F40899" w:rsidRDefault="00F40899" w:rsidP="00F40899">
      <w:pPr>
        <w:tabs>
          <w:tab w:val="left" w:pos="1871"/>
        </w:tabs>
        <w:ind w:right="102"/>
        <w:rPr>
          <w:sz w:val="24"/>
        </w:rPr>
      </w:pPr>
    </w:p>
    <w:p w14:paraId="668D2787" w14:textId="77777777" w:rsidR="00255B4E" w:rsidRDefault="00F40899">
      <w:pPr>
        <w:pStyle w:val="ListParagraph"/>
        <w:numPr>
          <w:ilvl w:val="0"/>
          <w:numId w:val="2"/>
        </w:numPr>
        <w:tabs>
          <w:tab w:val="left" w:pos="1806"/>
        </w:tabs>
        <w:ind w:right="109" w:firstLine="566"/>
        <w:rPr>
          <w:sz w:val="24"/>
        </w:rPr>
      </w:pPr>
      <w:r>
        <w:rPr>
          <w:sz w:val="24"/>
        </w:rPr>
        <w:lastRenderedPageBreak/>
        <w:t xml:space="preserve">The documents submitted to the competition shall </w:t>
      </w:r>
      <w:proofErr w:type="gramStart"/>
      <w:r>
        <w:rPr>
          <w:sz w:val="24"/>
        </w:rPr>
        <w:t>be stored</w:t>
      </w:r>
      <w:proofErr w:type="gramEnd"/>
      <w:r>
        <w:rPr>
          <w:sz w:val="24"/>
        </w:rPr>
        <w:t xml:space="preserve"> in accordance with the Law on Documents and Archives of the Republic of Lithuania and other legal acts.</w:t>
      </w:r>
    </w:p>
    <w:p w14:paraId="668D2788" w14:textId="77777777" w:rsidR="00255B4E" w:rsidRDefault="00F40899">
      <w:pPr>
        <w:pStyle w:val="ListParagraph"/>
        <w:numPr>
          <w:ilvl w:val="0"/>
          <w:numId w:val="2"/>
        </w:numPr>
        <w:tabs>
          <w:tab w:val="left" w:pos="1787"/>
        </w:tabs>
        <w:ind w:right="110" w:firstLine="566"/>
        <w:rPr>
          <w:sz w:val="24"/>
        </w:rPr>
      </w:pPr>
      <w:r>
        <w:rPr>
          <w:sz w:val="24"/>
        </w:rPr>
        <w:t xml:space="preserve">The personal data of the contestants may not </w:t>
      </w:r>
      <w:proofErr w:type="gramStart"/>
      <w:r>
        <w:rPr>
          <w:sz w:val="24"/>
        </w:rPr>
        <w:t>be used</w:t>
      </w:r>
      <w:proofErr w:type="gramEnd"/>
      <w:r>
        <w:rPr>
          <w:sz w:val="24"/>
        </w:rPr>
        <w:t xml:space="preserve"> for purposes other than those provided for by the laws of the Republic of Lithuania and these Provisions.</w:t>
      </w:r>
    </w:p>
    <w:p w14:paraId="668D2789" w14:textId="77777777" w:rsidR="00255B4E" w:rsidRDefault="00255B4E">
      <w:pPr>
        <w:pStyle w:val="BodyText"/>
        <w:ind w:left="0" w:firstLine="0"/>
        <w:rPr>
          <w:sz w:val="20"/>
        </w:rPr>
      </w:pPr>
    </w:p>
    <w:p w14:paraId="668D278A" w14:textId="77777777" w:rsidR="00255B4E" w:rsidRDefault="00307F95">
      <w:pPr>
        <w:pStyle w:val="BodyText"/>
        <w:spacing w:before="9"/>
        <w:ind w:left="0" w:firstLine="0"/>
        <w:rPr>
          <w:sz w:val="23"/>
        </w:rPr>
      </w:pPr>
      <w:r>
        <w:pict w14:anchorId="668D27D3">
          <v:line id="_x0000_s1027" style="position:absolute;z-index:-251659264;mso-wrap-distance-left:0;mso-wrap-distance-right:0;mso-position-horizontal-relative:page" from="218.1pt,15.9pt" to="434.1pt,15.9pt" strokeweight=".48pt">
            <w10:wrap type="topAndBottom" anchorx="page"/>
          </v:line>
        </w:pict>
      </w:r>
    </w:p>
    <w:p w14:paraId="668D278B" w14:textId="77777777" w:rsidR="00255B4E" w:rsidRDefault="00255B4E">
      <w:pPr>
        <w:rPr>
          <w:sz w:val="23"/>
        </w:rPr>
        <w:sectPr w:rsidR="00255B4E">
          <w:pgSz w:w="11910" w:h="16840"/>
          <w:pgMar w:top="1040" w:right="460" w:bottom="280" w:left="880" w:header="720" w:footer="720" w:gutter="0"/>
          <w:cols w:space="720"/>
        </w:sectPr>
      </w:pPr>
    </w:p>
    <w:p w14:paraId="668D278C" w14:textId="77777777" w:rsidR="00255B4E" w:rsidRDefault="00F40899">
      <w:pPr>
        <w:pStyle w:val="Heading1"/>
        <w:spacing w:before="73"/>
        <w:ind w:right="105"/>
        <w:jc w:val="right"/>
      </w:pPr>
      <w:r>
        <w:lastRenderedPageBreak/>
        <w:t xml:space="preserve">Annex </w:t>
      </w:r>
      <w:proofErr w:type="gramStart"/>
      <w:r>
        <w:t>1</w:t>
      </w:r>
      <w:proofErr w:type="gramEnd"/>
    </w:p>
    <w:p w14:paraId="668D278D" w14:textId="77777777" w:rsidR="00255B4E" w:rsidRDefault="00255B4E">
      <w:pPr>
        <w:pStyle w:val="BodyText"/>
        <w:spacing w:before="3"/>
        <w:ind w:left="0" w:firstLine="0"/>
        <w:rPr>
          <w:b/>
          <w:sz w:val="16"/>
        </w:rPr>
      </w:pPr>
    </w:p>
    <w:p w14:paraId="668D278E" w14:textId="77777777" w:rsidR="00255B4E" w:rsidRDefault="00F40899">
      <w:pPr>
        <w:spacing w:before="90"/>
        <w:ind w:left="4120"/>
        <w:rPr>
          <w:b/>
          <w:sz w:val="24"/>
        </w:rPr>
      </w:pPr>
      <w:r>
        <w:rPr>
          <w:b/>
          <w:sz w:val="24"/>
        </w:rPr>
        <w:t>Competition Entry Assessment Form</w:t>
      </w:r>
    </w:p>
    <w:p w14:paraId="668D278F" w14:textId="77777777" w:rsidR="00255B4E" w:rsidRDefault="00255B4E">
      <w:pPr>
        <w:pStyle w:val="BodyText"/>
        <w:ind w:left="0" w:firstLine="0"/>
        <w:rPr>
          <w:b/>
        </w:rPr>
      </w:pPr>
    </w:p>
    <w:p w14:paraId="668D2790" w14:textId="77777777" w:rsidR="00255B4E" w:rsidRDefault="00F40899">
      <w:pPr>
        <w:pStyle w:val="BodyText"/>
        <w:tabs>
          <w:tab w:val="left" w:pos="6061"/>
          <w:tab w:val="left" w:pos="9950"/>
        </w:tabs>
        <w:ind w:left="113" w:right="613" w:firstLine="0"/>
      </w:pPr>
      <w:r>
        <w:t xml:space="preserve">Code* and title of the research paper: </w:t>
      </w:r>
      <w:r>
        <w:rPr>
          <w:u w:val="single"/>
        </w:rPr>
        <w:t xml:space="preserve"> </w:t>
      </w:r>
      <w:r>
        <w:rPr>
          <w:u w:val="single"/>
        </w:rPr>
        <w:tab/>
      </w:r>
      <w:r>
        <w:rPr>
          <w:u w:val="single"/>
        </w:rPr>
        <w:tab/>
      </w:r>
      <w:r>
        <w:t xml:space="preserve"> Nomination group: </w:t>
      </w:r>
      <w:r>
        <w:rPr>
          <w:u w:val="single"/>
        </w:rPr>
        <w:t xml:space="preserve"> </w:t>
      </w:r>
      <w:r>
        <w:rPr>
          <w:u w:val="single"/>
        </w:rPr>
        <w:tab/>
      </w:r>
    </w:p>
    <w:p w14:paraId="668D2791" w14:textId="77777777" w:rsidR="00255B4E" w:rsidRDefault="00255B4E">
      <w:pPr>
        <w:pStyle w:val="BodyText"/>
        <w:spacing w:after="1"/>
        <w:ind w:left="0" w:firstLine="0"/>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2835"/>
        <w:gridCol w:w="1277"/>
        <w:gridCol w:w="5245"/>
      </w:tblGrid>
      <w:tr w:rsidR="00255B4E" w14:paraId="668D2796" w14:textId="77777777">
        <w:trPr>
          <w:trHeight w:val="690"/>
        </w:trPr>
        <w:tc>
          <w:tcPr>
            <w:tcW w:w="704" w:type="dxa"/>
          </w:tcPr>
          <w:p w14:paraId="668D2792" w14:textId="77777777" w:rsidR="00255B4E" w:rsidRDefault="00F40899">
            <w:pPr>
              <w:pStyle w:val="TableParagraph"/>
              <w:spacing w:before="2"/>
              <w:ind w:left="105"/>
              <w:rPr>
                <w:b/>
                <w:sz w:val="20"/>
              </w:rPr>
            </w:pPr>
            <w:r>
              <w:rPr>
                <w:b/>
                <w:sz w:val="20"/>
              </w:rPr>
              <w:t>No</w:t>
            </w:r>
          </w:p>
        </w:tc>
        <w:tc>
          <w:tcPr>
            <w:tcW w:w="2835" w:type="dxa"/>
          </w:tcPr>
          <w:p w14:paraId="668D2793" w14:textId="77777777" w:rsidR="00255B4E" w:rsidRDefault="00F40899">
            <w:pPr>
              <w:pStyle w:val="TableParagraph"/>
              <w:spacing w:before="2"/>
              <w:rPr>
                <w:b/>
                <w:sz w:val="20"/>
              </w:rPr>
            </w:pPr>
            <w:r>
              <w:rPr>
                <w:b/>
                <w:sz w:val="20"/>
              </w:rPr>
              <w:t>Criteria</w:t>
            </w:r>
          </w:p>
        </w:tc>
        <w:tc>
          <w:tcPr>
            <w:tcW w:w="1277" w:type="dxa"/>
          </w:tcPr>
          <w:p w14:paraId="668D2794" w14:textId="77777777" w:rsidR="00255B4E" w:rsidRDefault="00F40899" w:rsidP="008340FB">
            <w:pPr>
              <w:pStyle w:val="TableParagraph"/>
              <w:spacing w:line="230" w:lineRule="atLeast"/>
              <w:ind w:right="169"/>
              <w:rPr>
                <w:b/>
                <w:sz w:val="20"/>
              </w:rPr>
            </w:pPr>
            <w:r>
              <w:rPr>
                <w:b/>
                <w:sz w:val="20"/>
              </w:rPr>
              <w:t>Score (between 1 and 10 points)</w:t>
            </w:r>
          </w:p>
        </w:tc>
        <w:tc>
          <w:tcPr>
            <w:tcW w:w="5245" w:type="dxa"/>
          </w:tcPr>
          <w:p w14:paraId="668D2795" w14:textId="77777777" w:rsidR="00255B4E" w:rsidRDefault="00F40899">
            <w:pPr>
              <w:pStyle w:val="TableParagraph"/>
              <w:spacing w:before="2"/>
              <w:rPr>
                <w:b/>
                <w:sz w:val="20"/>
              </w:rPr>
            </w:pPr>
            <w:r>
              <w:rPr>
                <w:b/>
                <w:sz w:val="20"/>
              </w:rPr>
              <w:t>Commentary</w:t>
            </w:r>
          </w:p>
        </w:tc>
      </w:tr>
      <w:tr w:rsidR="00255B4E" w14:paraId="668D279C" w14:textId="77777777">
        <w:trPr>
          <w:trHeight w:val="757"/>
        </w:trPr>
        <w:tc>
          <w:tcPr>
            <w:tcW w:w="704" w:type="dxa"/>
          </w:tcPr>
          <w:p w14:paraId="668D2797" w14:textId="77777777" w:rsidR="00255B4E" w:rsidRDefault="00F40899">
            <w:pPr>
              <w:pStyle w:val="TableParagraph"/>
              <w:spacing w:before="1"/>
              <w:ind w:left="105"/>
            </w:pPr>
            <w:r>
              <w:t>1.</w:t>
            </w:r>
          </w:p>
        </w:tc>
        <w:tc>
          <w:tcPr>
            <w:tcW w:w="2835" w:type="dxa"/>
          </w:tcPr>
          <w:p w14:paraId="496F1DD4" w14:textId="77777777" w:rsidR="008340FB" w:rsidRDefault="00F40899" w:rsidP="008340FB">
            <w:pPr>
              <w:pStyle w:val="TableParagraph"/>
              <w:spacing w:line="251" w:lineRule="exact"/>
            </w:pPr>
            <w:r>
              <w:t>Formulation and implementation</w:t>
            </w:r>
            <w:r w:rsidR="008340FB">
              <w:t xml:space="preserve"> </w:t>
            </w:r>
            <w:r>
              <w:t xml:space="preserve">of the aim </w:t>
            </w:r>
          </w:p>
          <w:p w14:paraId="668D2799" w14:textId="5F332DC1" w:rsidR="00255B4E" w:rsidRDefault="00F40899" w:rsidP="008340FB">
            <w:pPr>
              <w:pStyle w:val="TableParagraph"/>
              <w:spacing w:line="251" w:lineRule="exact"/>
            </w:pPr>
            <w:r>
              <w:t>and objectives</w:t>
            </w:r>
          </w:p>
        </w:tc>
        <w:tc>
          <w:tcPr>
            <w:tcW w:w="1277" w:type="dxa"/>
          </w:tcPr>
          <w:p w14:paraId="668D279A" w14:textId="77777777" w:rsidR="00255B4E" w:rsidRDefault="00255B4E">
            <w:pPr>
              <w:pStyle w:val="TableParagraph"/>
              <w:ind w:left="0"/>
            </w:pPr>
          </w:p>
        </w:tc>
        <w:tc>
          <w:tcPr>
            <w:tcW w:w="5245" w:type="dxa"/>
          </w:tcPr>
          <w:p w14:paraId="668D279B" w14:textId="77777777" w:rsidR="00255B4E" w:rsidRDefault="00255B4E">
            <w:pPr>
              <w:pStyle w:val="TableParagraph"/>
              <w:ind w:left="0"/>
            </w:pPr>
          </w:p>
        </w:tc>
      </w:tr>
      <w:tr w:rsidR="00255B4E" w14:paraId="668D27A2" w14:textId="77777777">
        <w:trPr>
          <w:trHeight w:val="759"/>
        </w:trPr>
        <w:tc>
          <w:tcPr>
            <w:tcW w:w="704" w:type="dxa"/>
          </w:tcPr>
          <w:p w14:paraId="668D279D" w14:textId="77777777" w:rsidR="00255B4E" w:rsidRDefault="00F40899">
            <w:pPr>
              <w:pStyle w:val="TableParagraph"/>
              <w:spacing w:before="1"/>
              <w:ind w:left="105"/>
            </w:pPr>
            <w:r>
              <w:t>2.</w:t>
            </w:r>
          </w:p>
        </w:tc>
        <w:tc>
          <w:tcPr>
            <w:tcW w:w="2835" w:type="dxa"/>
          </w:tcPr>
          <w:p w14:paraId="668D279E" w14:textId="77777777" w:rsidR="00255B4E" w:rsidRDefault="00F40899">
            <w:pPr>
              <w:pStyle w:val="TableParagraph"/>
              <w:ind w:right="272"/>
            </w:pPr>
            <w:r>
              <w:t>The links between the issue and the topic of Lithuania's</w:t>
            </w:r>
          </w:p>
          <w:p w14:paraId="668D279F" w14:textId="77777777" w:rsidR="00255B4E" w:rsidRDefault="00F40899">
            <w:pPr>
              <w:pStyle w:val="TableParagraph"/>
              <w:spacing w:line="234" w:lineRule="exact"/>
            </w:pPr>
            <w:r>
              <w:t>national minorities</w:t>
            </w:r>
          </w:p>
        </w:tc>
        <w:tc>
          <w:tcPr>
            <w:tcW w:w="1277" w:type="dxa"/>
          </w:tcPr>
          <w:p w14:paraId="668D27A0" w14:textId="77777777" w:rsidR="00255B4E" w:rsidRDefault="00255B4E">
            <w:pPr>
              <w:pStyle w:val="TableParagraph"/>
              <w:ind w:left="0"/>
            </w:pPr>
          </w:p>
        </w:tc>
        <w:tc>
          <w:tcPr>
            <w:tcW w:w="5245" w:type="dxa"/>
          </w:tcPr>
          <w:p w14:paraId="668D27A1" w14:textId="77777777" w:rsidR="00255B4E" w:rsidRDefault="00255B4E">
            <w:pPr>
              <w:pStyle w:val="TableParagraph"/>
              <w:ind w:left="0"/>
            </w:pPr>
          </w:p>
        </w:tc>
      </w:tr>
      <w:tr w:rsidR="00255B4E" w14:paraId="668D27A8" w14:textId="77777777">
        <w:trPr>
          <w:trHeight w:val="758"/>
        </w:trPr>
        <w:tc>
          <w:tcPr>
            <w:tcW w:w="704" w:type="dxa"/>
          </w:tcPr>
          <w:p w14:paraId="668D27A3" w14:textId="77777777" w:rsidR="00255B4E" w:rsidRDefault="00F40899">
            <w:pPr>
              <w:pStyle w:val="TableParagraph"/>
              <w:spacing w:before="1"/>
              <w:ind w:left="105"/>
            </w:pPr>
            <w:r>
              <w:t>3.</w:t>
            </w:r>
          </w:p>
        </w:tc>
        <w:tc>
          <w:tcPr>
            <w:tcW w:w="2835" w:type="dxa"/>
          </w:tcPr>
          <w:p w14:paraId="668D27A4" w14:textId="77777777" w:rsidR="00255B4E" w:rsidRDefault="00F40899">
            <w:pPr>
              <w:pStyle w:val="TableParagraph"/>
              <w:ind w:right="248"/>
            </w:pPr>
            <w:r>
              <w:t xml:space="preserve">Originality, </w:t>
            </w:r>
            <w:proofErr w:type="gramStart"/>
            <w:r>
              <w:t>relevance</w:t>
            </w:r>
            <w:proofErr w:type="gramEnd"/>
            <w:r>
              <w:t xml:space="preserve"> and significance of the research</w:t>
            </w:r>
          </w:p>
          <w:p w14:paraId="668D27A5" w14:textId="77777777" w:rsidR="00255B4E" w:rsidRDefault="00F40899">
            <w:pPr>
              <w:pStyle w:val="TableParagraph"/>
              <w:spacing w:line="233" w:lineRule="exact"/>
            </w:pPr>
            <w:r>
              <w:t>presented</w:t>
            </w:r>
          </w:p>
        </w:tc>
        <w:tc>
          <w:tcPr>
            <w:tcW w:w="1277" w:type="dxa"/>
          </w:tcPr>
          <w:p w14:paraId="668D27A6" w14:textId="77777777" w:rsidR="00255B4E" w:rsidRDefault="00255B4E">
            <w:pPr>
              <w:pStyle w:val="TableParagraph"/>
              <w:ind w:left="0"/>
            </w:pPr>
          </w:p>
        </w:tc>
        <w:tc>
          <w:tcPr>
            <w:tcW w:w="5245" w:type="dxa"/>
          </w:tcPr>
          <w:p w14:paraId="668D27A7" w14:textId="77777777" w:rsidR="00255B4E" w:rsidRDefault="00255B4E">
            <w:pPr>
              <w:pStyle w:val="TableParagraph"/>
              <w:ind w:left="0"/>
            </w:pPr>
          </w:p>
        </w:tc>
      </w:tr>
      <w:tr w:rsidR="00255B4E" w14:paraId="668D27AE" w14:textId="77777777">
        <w:trPr>
          <w:trHeight w:val="1518"/>
        </w:trPr>
        <w:tc>
          <w:tcPr>
            <w:tcW w:w="704" w:type="dxa"/>
          </w:tcPr>
          <w:p w14:paraId="668D27A9" w14:textId="77777777" w:rsidR="00255B4E" w:rsidRDefault="00F40899">
            <w:pPr>
              <w:pStyle w:val="TableParagraph"/>
              <w:spacing w:before="1"/>
              <w:ind w:left="105"/>
            </w:pPr>
            <w:r>
              <w:t>4.</w:t>
            </w:r>
          </w:p>
        </w:tc>
        <w:tc>
          <w:tcPr>
            <w:tcW w:w="2835" w:type="dxa"/>
          </w:tcPr>
          <w:p w14:paraId="668D27AA" w14:textId="77777777" w:rsidR="00255B4E" w:rsidRDefault="00F40899">
            <w:pPr>
              <w:pStyle w:val="TableParagraph"/>
              <w:ind w:right="127"/>
            </w:pPr>
            <w:r>
              <w:t xml:space="preserve">An assessment of the degree to which the problem(s) </w:t>
            </w:r>
            <w:proofErr w:type="gramStart"/>
            <w:r>
              <w:t>being analysed</w:t>
            </w:r>
            <w:proofErr w:type="gramEnd"/>
            <w:r>
              <w:t xml:space="preserve"> have been explored in the work of other scholars, the scientific value of the sources used,</w:t>
            </w:r>
          </w:p>
          <w:p w14:paraId="668D27AB" w14:textId="77777777" w:rsidR="00255B4E" w:rsidRDefault="00F40899">
            <w:pPr>
              <w:pStyle w:val="TableParagraph"/>
              <w:spacing w:line="235" w:lineRule="exact"/>
            </w:pPr>
            <w:r>
              <w:t>the research methods and the results of the work</w:t>
            </w:r>
          </w:p>
        </w:tc>
        <w:tc>
          <w:tcPr>
            <w:tcW w:w="1277" w:type="dxa"/>
          </w:tcPr>
          <w:p w14:paraId="668D27AC" w14:textId="77777777" w:rsidR="00255B4E" w:rsidRDefault="00255B4E">
            <w:pPr>
              <w:pStyle w:val="TableParagraph"/>
              <w:ind w:left="0"/>
            </w:pPr>
          </w:p>
        </w:tc>
        <w:tc>
          <w:tcPr>
            <w:tcW w:w="5245" w:type="dxa"/>
          </w:tcPr>
          <w:p w14:paraId="668D27AD" w14:textId="77777777" w:rsidR="00255B4E" w:rsidRDefault="00255B4E">
            <w:pPr>
              <w:pStyle w:val="TableParagraph"/>
              <w:ind w:left="0"/>
            </w:pPr>
          </w:p>
        </w:tc>
      </w:tr>
      <w:tr w:rsidR="00255B4E" w14:paraId="668D27B4" w14:textId="77777777">
        <w:trPr>
          <w:trHeight w:val="757"/>
        </w:trPr>
        <w:tc>
          <w:tcPr>
            <w:tcW w:w="704" w:type="dxa"/>
          </w:tcPr>
          <w:p w14:paraId="668D27AF" w14:textId="77777777" w:rsidR="00255B4E" w:rsidRDefault="00F40899">
            <w:pPr>
              <w:pStyle w:val="TableParagraph"/>
              <w:spacing w:before="1"/>
              <w:ind w:left="105"/>
            </w:pPr>
            <w:r>
              <w:t>5.</w:t>
            </w:r>
          </w:p>
        </w:tc>
        <w:tc>
          <w:tcPr>
            <w:tcW w:w="2835" w:type="dxa"/>
          </w:tcPr>
          <w:p w14:paraId="668D27B0" w14:textId="77777777" w:rsidR="00255B4E" w:rsidRDefault="00F40899">
            <w:pPr>
              <w:pStyle w:val="TableParagraph"/>
              <w:spacing w:line="251" w:lineRule="exact"/>
            </w:pPr>
            <w:r>
              <w:t>Clarity, validity and</w:t>
            </w:r>
          </w:p>
          <w:p w14:paraId="668D27B1" w14:textId="77777777" w:rsidR="00255B4E" w:rsidRDefault="00F40899">
            <w:pPr>
              <w:pStyle w:val="TableParagraph"/>
              <w:spacing w:before="1" w:line="254" w:lineRule="exact"/>
              <w:ind w:right="382"/>
            </w:pPr>
            <w:r>
              <w:t>practical relevance of the conclusions and proposals</w:t>
            </w:r>
          </w:p>
        </w:tc>
        <w:tc>
          <w:tcPr>
            <w:tcW w:w="1277" w:type="dxa"/>
          </w:tcPr>
          <w:p w14:paraId="668D27B2" w14:textId="77777777" w:rsidR="00255B4E" w:rsidRDefault="00255B4E">
            <w:pPr>
              <w:pStyle w:val="TableParagraph"/>
              <w:ind w:left="0"/>
            </w:pPr>
          </w:p>
        </w:tc>
        <w:tc>
          <w:tcPr>
            <w:tcW w:w="5245" w:type="dxa"/>
          </w:tcPr>
          <w:p w14:paraId="668D27B3" w14:textId="77777777" w:rsidR="00255B4E" w:rsidRDefault="00255B4E">
            <w:pPr>
              <w:pStyle w:val="TableParagraph"/>
              <w:ind w:left="0"/>
            </w:pPr>
          </w:p>
        </w:tc>
      </w:tr>
      <w:tr w:rsidR="00255B4E" w14:paraId="668D27BA" w14:textId="77777777">
        <w:trPr>
          <w:trHeight w:val="504"/>
        </w:trPr>
        <w:tc>
          <w:tcPr>
            <w:tcW w:w="704" w:type="dxa"/>
          </w:tcPr>
          <w:p w14:paraId="668D27B5" w14:textId="77777777" w:rsidR="00255B4E" w:rsidRDefault="00F40899">
            <w:pPr>
              <w:pStyle w:val="TableParagraph"/>
              <w:spacing w:line="252" w:lineRule="exact"/>
              <w:ind w:left="105"/>
            </w:pPr>
            <w:r>
              <w:t>6.</w:t>
            </w:r>
          </w:p>
        </w:tc>
        <w:tc>
          <w:tcPr>
            <w:tcW w:w="2835" w:type="dxa"/>
          </w:tcPr>
          <w:p w14:paraId="668D27B6" w14:textId="77777777" w:rsidR="00255B4E" w:rsidRDefault="00F40899">
            <w:pPr>
              <w:pStyle w:val="TableParagraph"/>
              <w:spacing w:line="249" w:lineRule="exact"/>
            </w:pPr>
            <w:r>
              <w:t>Positive impact and potential</w:t>
            </w:r>
          </w:p>
          <w:p w14:paraId="668D27B7" w14:textId="77777777" w:rsidR="00255B4E" w:rsidRDefault="00F40899">
            <w:pPr>
              <w:pStyle w:val="TableParagraph"/>
              <w:spacing w:before="2" w:line="233" w:lineRule="exact"/>
            </w:pPr>
            <w:r>
              <w:t>societal benefits of the research</w:t>
            </w:r>
          </w:p>
        </w:tc>
        <w:tc>
          <w:tcPr>
            <w:tcW w:w="1277" w:type="dxa"/>
          </w:tcPr>
          <w:p w14:paraId="668D27B8" w14:textId="77777777" w:rsidR="00255B4E" w:rsidRDefault="00255B4E">
            <w:pPr>
              <w:pStyle w:val="TableParagraph"/>
              <w:ind w:left="0"/>
            </w:pPr>
          </w:p>
        </w:tc>
        <w:tc>
          <w:tcPr>
            <w:tcW w:w="5245" w:type="dxa"/>
          </w:tcPr>
          <w:p w14:paraId="668D27B9" w14:textId="77777777" w:rsidR="00255B4E" w:rsidRDefault="00255B4E">
            <w:pPr>
              <w:pStyle w:val="TableParagraph"/>
              <w:ind w:left="0"/>
            </w:pPr>
          </w:p>
        </w:tc>
      </w:tr>
      <w:tr w:rsidR="00255B4E" w14:paraId="668D27BF" w14:textId="77777777">
        <w:trPr>
          <w:trHeight w:val="381"/>
        </w:trPr>
        <w:tc>
          <w:tcPr>
            <w:tcW w:w="704" w:type="dxa"/>
          </w:tcPr>
          <w:p w14:paraId="668D27BB" w14:textId="77777777" w:rsidR="00255B4E" w:rsidRDefault="00F40899">
            <w:pPr>
              <w:pStyle w:val="TableParagraph"/>
              <w:spacing w:before="1"/>
              <w:ind w:left="105"/>
            </w:pPr>
            <w:r>
              <w:t>7.</w:t>
            </w:r>
          </w:p>
        </w:tc>
        <w:tc>
          <w:tcPr>
            <w:tcW w:w="2835" w:type="dxa"/>
          </w:tcPr>
          <w:p w14:paraId="668D27BC" w14:textId="77777777" w:rsidR="00255B4E" w:rsidRDefault="00F40899">
            <w:pPr>
              <w:pStyle w:val="TableParagraph"/>
              <w:spacing w:line="251" w:lineRule="exact"/>
            </w:pPr>
            <w:r>
              <w:t>Opportunities for developing the research</w:t>
            </w:r>
          </w:p>
        </w:tc>
        <w:tc>
          <w:tcPr>
            <w:tcW w:w="1277" w:type="dxa"/>
          </w:tcPr>
          <w:p w14:paraId="668D27BD" w14:textId="77777777" w:rsidR="00255B4E" w:rsidRDefault="00255B4E">
            <w:pPr>
              <w:pStyle w:val="TableParagraph"/>
              <w:ind w:left="0"/>
            </w:pPr>
          </w:p>
        </w:tc>
        <w:tc>
          <w:tcPr>
            <w:tcW w:w="5245" w:type="dxa"/>
          </w:tcPr>
          <w:p w14:paraId="668D27BE" w14:textId="77777777" w:rsidR="00255B4E" w:rsidRDefault="00255B4E">
            <w:pPr>
              <w:pStyle w:val="TableParagraph"/>
              <w:ind w:left="0"/>
            </w:pPr>
          </w:p>
        </w:tc>
      </w:tr>
      <w:tr w:rsidR="00255B4E" w14:paraId="668D27C5" w14:textId="77777777">
        <w:trPr>
          <w:trHeight w:val="1010"/>
        </w:trPr>
        <w:tc>
          <w:tcPr>
            <w:tcW w:w="704" w:type="dxa"/>
          </w:tcPr>
          <w:p w14:paraId="668D27C0" w14:textId="77777777" w:rsidR="00255B4E" w:rsidRDefault="00F40899">
            <w:pPr>
              <w:pStyle w:val="TableParagraph"/>
              <w:spacing w:before="1"/>
              <w:ind w:left="105"/>
            </w:pPr>
            <w:r>
              <w:t>8.</w:t>
            </w:r>
          </w:p>
        </w:tc>
        <w:tc>
          <w:tcPr>
            <w:tcW w:w="2835" w:type="dxa"/>
          </w:tcPr>
          <w:p w14:paraId="668D27C1" w14:textId="77777777" w:rsidR="00255B4E" w:rsidRDefault="00F40899">
            <w:pPr>
              <w:pStyle w:val="TableParagraph"/>
              <w:ind w:right="247"/>
            </w:pPr>
            <w:r>
              <w:t>Consistency and logic in presentation, literacy,</w:t>
            </w:r>
          </w:p>
          <w:p w14:paraId="668D27C2" w14:textId="77777777" w:rsidR="00255B4E" w:rsidRDefault="00F40899">
            <w:pPr>
              <w:pStyle w:val="TableParagraph"/>
              <w:spacing w:line="233" w:lineRule="exact"/>
            </w:pPr>
            <w:r>
              <w:t>orderliness of work</w:t>
            </w:r>
          </w:p>
        </w:tc>
        <w:tc>
          <w:tcPr>
            <w:tcW w:w="1277" w:type="dxa"/>
          </w:tcPr>
          <w:p w14:paraId="668D27C3" w14:textId="77777777" w:rsidR="00255B4E" w:rsidRDefault="00255B4E">
            <w:pPr>
              <w:pStyle w:val="TableParagraph"/>
              <w:ind w:left="0"/>
            </w:pPr>
          </w:p>
        </w:tc>
        <w:tc>
          <w:tcPr>
            <w:tcW w:w="5245" w:type="dxa"/>
          </w:tcPr>
          <w:p w14:paraId="668D27C4" w14:textId="77777777" w:rsidR="00255B4E" w:rsidRDefault="00255B4E">
            <w:pPr>
              <w:pStyle w:val="TableParagraph"/>
              <w:ind w:left="0"/>
            </w:pPr>
          </w:p>
        </w:tc>
      </w:tr>
      <w:tr w:rsidR="00255B4E" w14:paraId="668D27C8" w14:textId="77777777">
        <w:trPr>
          <w:trHeight w:val="381"/>
        </w:trPr>
        <w:tc>
          <w:tcPr>
            <w:tcW w:w="3539" w:type="dxa"/>
            <w:gridSpan w:val="2"/>
          </w:tcPr>
          <w:p w14:paraId="668D27C6" w14:textId="77777777" w:rsidR="00255B4E" w:rsidRDefault="00F40899">
            <w:pPr>
              <w:pStyle w:val="TableParagraph"/>
              <w:spacing w:line="251" w:lineRule="exact"/>
              <w:ind w:left="811"/>
              <w:rPr>
                <w:b/>
              </w:rPr>
            </w:pPr>
            <w:r>
              <w:rPr>
                <w:b/>
              </w:rPr>
              <w:t>Sum of scores</w:t>
            </w:r>
          </w:p>
        </w:tc>
        <w:tc>
          <w:tcPr>
            <w:tcW w:w="6522" w:type="dxa"/>
            <w:gridSpan w:val="2"/>
          </w:tcPr>
          <w:p w14:paraId="668D27C7" w14:textId="77777777" w:rsidR="00255B4E" w:rsidRDefault="00255B4E">
            <w:pPr>
              <w:pStyle w:val="TableParagraph"/>
              <w:ind w:left="0"/>
            </w:pPr>
          </w:p>
        </w:tc>
      </w:tr>
    </w:tbl>
    <w:p w14:paraId="668D27C9" w14:textId="77777777" w:rsidR="00255B4E" w:rsidRDefault="00F40899">
      <w:pPr>
        <w:pStyle w:val="BodyText"/>
        <w:ind w:right="762" w:firstLine="0"/>
      </w:pPr>
      <w:r>
        <w:t xml:space="preserve">* The code </w:t>
      </w:r>
      <w:proofErr w:type="gramStart"/>
      <w:r>
        <w:t>is given</w:t>
      </w:r>
      <w:proofErr w:type="gramEnd"/>
      <w:r>
        <w:t xml:space="preserve"> to ensure the anonymity of the author of the research paper. The code </w:t>
      </w:r>
      <w:proofErr w:type="gramStart"/>
      <w:r>
        <w:t>is provided</w:t>
      </w:r>
      <w:proofErr w:type="gramEnd"/>
      <w:r>
        <w:t xml:space="preserve"> by the Department.</w:t>
      </w:r>
    </w:p>
    <w:p w14:paraId="668D27CA" w14:textId="77777777" w:rsidR="00255B4E" w:rsidRDefault="00255B4E">
      <w:pPr>
        <w:pStyle w:val="BodyText"/>
        <w:ind w:left="0" w:firstLine="0"/>
      </w:pPr>
    </w:p>
    <w:p w14:paraId="668D27CB" w14:textId="06DBBB08" w:rsidR="00255B4E" w:rsidRDefault="00F40899">
      <w:pPr>
        <w:pStyle w:val="BodyText"/>
        <w:tabs>
          <w:tab w:val="left" w:pos="6061"/>
          <w:tab w:val="left" w:pos="9895"/>
        </w:tabs>
        <w:ind w:left="113" w:firstLine="0"/>
      </w:pPr>
      <w:r>
        <w:t>Evaluator</w:t>
      </w:r>
      <w:r>
        <w:rPr>
          <w:u w:val="single"/>
        </w:rPr>
        <w:t xml:space="preserve"> </w:t>
      </w:r>
      <w:r w:rsidR="00FB470D">
        <w:rPr>
          <w:u w:val="single"/>
        </w:rPr>
        <w:tab/>
      </w:r>
      <w:r w:rsidR="00FB470D" w:rsidRPr="00FB470D">
        <w:t xml:space="preserve"> </w:t>
      </w:r>
      <w:r>
        <w:t>Date</w:t>
      </w:r>
      <w:r>
        <w:rPr>
          <w:u w:val="single"/>
        </w:rPr>
        <w:t xml:space="preserve"> </w:t>
      </w:r>
      <w:r>
        <w:rPr>
          <w:u w:val="single"/>
        </w:rPr>
        <w:tab/>
      </w:r>
    </w:p>
    <w:p w14:paraId="668D27CC" w14:textId="77777777" w:rsidR="00255B4E" w:rsidRDefault="00F40899">
      <w:pPr>
        <w:spacing w:before="1"/>
        <w:ind w:left="1542"/>
        <w:rPr>
          <w:sz w:val="20"/>
        </w:rPr>
      </w:pPr>
      <w:r>
        <w:rPr>
          <w:sz w:val="20"/>
        </w:rPr>
        <w:t>(First name, last name, signature)</w:t>
      </w:r>
    </w:p>
    <w:p w14:paraId="668D27CD" w14:textId="77777777" w:rsidR="00255B4E" w:rsidRDefault="00255B4E">
      <w:pPr>
        <w:pStyle w:val="BodyText"/>
        <w:ind w:left="0" w:firstLine="0"/>
        <w:rPr>
          <w:sz w:val="20"/>
        </w:rPr>
      </w:pPr>
    </w:p>
    <w:p w14:paraId="668D27CE" w14:textId="77777777" w:rsidR="00255B4E" w:rsidRDefault="00255B4E">
      <w:pPr>
        <w:pStyle w:val="BodyText"/>
        <w:ind w:left="0" w:firstLine="0"/>
        <w:rPr>
          <w:sz w:val="20"/>
        </w:rPr>
      </w:pPr>
    </w:p>
    <w:p w14:paraId="668D27CF" w14:textId="77777777" w:rsidR="00255B4E" w:rsidRDefault="00255B4E">
      <w:pPr>
        <w:pStyle w:val="BodyText"/>
        <w:ind w:left="0" w:firstLine="0"/>
        <w:rPr>
          <w:sz w:val="20"/>
        </w:rPr>
      </w:pPr>
    </w:p>
    <w:p w14:paraId="668D27D0" w14:textId="77777777" w:rsidR="00255B4E" w:rsidRDefault="00255B4E">
      <w:pPr>
        <w:pStyle w:val="BodyText"/>
        <w:ind w:left="0" w:firstLine="0"/>
        <w:rPr>
          <w:sz w:val="20"/>
        </w:rPr>
      </w:pPr>
    </w:p>
    <w:p w14:paraId="668D27D1" w14:textId="77777777" w:rsidR="00255B4E" w:rsidRDefault="00255B4E">
      <w:pPr>
        <w:pStyle w:val="BodyText"/>
        <w:ind w:left="0" w:firstLine="0"/>
        <w:rPr>
          <w:sz w:val="20"/>
        </w:rPr>
      </w:pPr>
    </w:p>
    <w:p w14:paraId="668D27D2" w14:textId="77777777" w:rsidR="00255B4E" w:rsidRDefault="00307F95">
      <w:pPr>
        <w:pStyle w:val="BodyText"/>
        <w:spacing w:before="6"/>
        <w:ind w:left="0" w:firstLine="0"/>
        <w:rPr>
          <w:sz w:val="15"/>
        </w:rPr>
      </w:pPr>
      <w:r>
        <w:pict w14:anchorId="668D27D4">
          <v:line id="_x0000_s1026" style="position:absolute;z-index:-251658240;mso-wrap-distance-left:0;mso-wrap-distance-right:0;mso-position-horizontal-relative:page" from="214.75pt,11.15pt" to="430.75pt,11.15pt" strokeweight=".48pt">
            <w10:wrap type="topAndBottom" anchorx="page"/>
          </v:line>
        </w:pict>
      </w:r>
    </w:p>
    <w:sectPr w:rsidR="00255B4E">
      <w:pgSz w:w="11910" w:h="16840"/>
      <w:pgMar w:top="1040" w:right="4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6166E"/>
    <w:multiLevelType w:val="hybridMultilevel"/>
    <w:tmpl w:val="5A0291EA"/>
    <w:lvl w:ilvl="0" w:tplc="2A3CC560">
      <w:start w:val="2"/>
      <w:numFmt w:val="upperRoman"/>
      <w:lvlText w:val="%1"/>
      <w:lvlJc w:val="left"/>
      <w:pPr>
        <w:ind w:left="5514" w:hanging="247"/>
        <w:jc w:val="right"/>
      </w:pPr>
      <w:rPr>
        <w:rFonts w:ascii="Times New Roman" w:eastAsia="Times New Roman" w:hAnsi="Times New Roman" w:cs="Times New Roman" w:hint="default"/>
        <w:b/>
        <w:bCs/>
        <w:sz w:val="24"/>
        <w:szCs w:val="24"/>
        <w:lang w:val="lt" w:eastAsia="lt" w:bidi="lt"/>
      </w:rPr>
    </w:lvl>
    <w:lvl w:ilvl="1" w:tplc="809E9C26">
      <w:numFmt w:val="bullet"/>
      <w:lvlText w:val="•"/>
      <w:lvlJc w:val="left"/>
      <w:pPr>
        <w:ind w:left="6024" w:hanging="247"/>
      </w:pPr>
      <w:rPr>
        <w:rFonts w:hint="default"/>
        <w:lang w:val="lt" w:eastAsia="lt" w:bidi="lt"/>
      </w:rPr>
    </w:lvl>
    <w:lvl w:ilvl="2" w:tplc="D14E3FF4">
      <w:numFmt w:val="bullet"/>
      <w:lvlText w:val="•"/>
      <w:lvlJc w:val="left"/>
      <w:pPr>
        <w:ind w:left="6529" w:hanging="247"/>
      </w:pPr>
      <w:rPr>
        <w:rFonts w:hint="default"/>
        <w:lang w:val="lt" w:eastAsia="lt" w:bidi="lt"/>
      </w:rPr>
    </w:lvl>
    <w:lvl w:ilvl="3" w:tplc="FC2A981C">
      <w:numFmt w:val="bullet"/>
      <w:lvlText w:val="•"/>
      <w:lvlJc w:val="left"/>
      <w:pPr>
        <w:ind w:left="7033" w:hanging="247"/>
      </w:pPr>
      <w:rPr>
        <w:rFonts w:hint="default"/>
        <w:lang w:val="lt" w:eastAsia="lt" w:bidi="lt"/>
      </w:rPr>
    </w:lvl>
    <w:lvl w:ilvl="4" w:tplc="12A8FF60">
      <w:numFmt w:val="bullet"/>
      <w:lvlText w:val="•"/>
      <w:lvlJc w:val="left"/>
      <w:pPr>
        <w:ind w:left="7538" w:hanging="247"/>
      </w:pPr>
      <w:rPr>
        <w:rFonts w:hint="default"/>
        <w:lang w:val="lt" w:eastAsia="lt" w:bidi="lt"/>
      </w:rPr>
    </w:lvl>
    <w:lvl w:ilvl="5" w:tplc="CE1CC4A0">
      <w:numFmt w:val="bullet"/>
      <w:lvlText w:val="•"/>
      <w:lvlJc w:val="left"/>
      <w:pPr>
        <w:ind w:left="8043" w:hanging="247"/>
      </w:pPr>
      <w:rPr>
        <w:rFonts w:hint="default"/>
        <w:lang w:val="lt" w:eastAsia="lt" w:bidi="lt"/>
      </w:rPr>
    </w:lvl>
    <w:lvl w:ilvl="6" w:tplc="DED893CA">
      <w:numFmt w:val="bullet"/>
      <w:lvlText w:val="•"/>
      <w:lvlJc w:val="left"/>
      <w:pPr>
        <w:ind w:left="8547" w:hanging="247"/>
      </w:pPr>
      <w:rPr>
        <w:rFonts w:hint="default"/>
        <w:lang w:val="lt" w:eastAsia="lt" w:bidi="lt"/>
      </w:rPr>
    </w:lvl>
    <w:lvl w:ilvl="7" w:tplc="2DFEEFC4">
      <w:numFmt w:val="bullet"/>
      <w:lvlText w:val="•"/>
      <w:lvlJc w:val="left"/>
      <w:pPr>
        <w:ind w:left="9052" w:hanging="247"/>
      </w:pPr>
      <w:rPr>
        <w:rFonts w:hint="default"/>
        <w:lang w:val="lt" w:eastAsia="lt" w:bidi="lt"/>
      </w:rPr>
    </w:lvl>
    <w:lvl w:ilvl="8" w:tplc="DFF2F446">
      <w:numFmt w:val="bullet"/>
      <w:lvlText w:val="•"/>
      <w:lvlJc w:val="left"/>
      <w:pPr>
        <w:ind w:left="9557" w:hanging="247"/>
      </w:pPr>
      <w:rPr>
        <w:rFonts w:hint="default"/>
        <w:lang w:val="lt" w:eastAsia="lt" w:bidi="lt"/>
      </w:rPr>
    </w:lvl>
  </w:abstractNum>
  <w:abstractNum w:abstractNumId="1" w15:restartNumberingAfterBreak="0">
    <w:nsid w:val="5A2637C6"/>
    <w:multiLevelType w:val="multilevel"/>
    <w:tmpl w:val="EE12D866"/>
    <w:lvl w:ilvl="0">
      <w:start w:val="1"/>
      <w:numFmt w:val="decimal"/>
      <w:lvlText w:val="%1."/>
      <w:lvlJc w:val="left"/>
      <w:pPr>
        <w:ind w:left="822" w:hanging="286"/>
      </w:pPr>
      <w:rPr>
        <w:rFonts w:hint="default"/>
        <w:b w:val="0"/>
        <w:bCs/>
        <w:spacing w:val="0"/>
        <w:lang w:val="lt" w:eastAsia="lt" w:bidi="lt"/>
      </w:rPr>
    </w:lvl>
    <w:lvl w:ilvl="1">
      <w:start w:val="1"/>
      <w:numFmt w:val="decimal"/>
      <w:lvlText w:val="%1.%2."/>
      <w:lvlJc w:val="left"/>
      <w:pPr>
        <w:ind w:left="822" w:hanging="595"/>
      </w:pPr>
      <w:rPr>
        <w:rFonts w:ascii="Times New Roman" w:hAnsi="Times New Roman" w:cs="Times New Roman" w:hint="default"/>
        <w:spacing w:val="0"/>
        <w:w w:val="100"/>
        <w:sz w:val="24"/>
        <w:szCs w:val="24"/>
        <w:lang w:val="lt" w:eastAsia="lt" w:bidi="lt"/>
      </w:rPr>
    </w:lvl>
    <w:lvl w:ilvl="2">
      <w:numFmt w:val="bullet"/>
      <w:lvlText w:val="•"/>
      <w:lvlJc w:val="left"/>
      <w:pPr>
        <w:ind w:left="2916" w:hanging="595"/>
      </w:pPr>
      <w:rPr>
        <w:rFonts w:hint="default"/>
        <w:lang w:val="lt" w:eastAsia="lt" w:bidi="lt"/>
      </w:rPr>
    </w:lvl>
    <w:lvl w:ilvl="3">
      <w:numFmt w:val="bullet"/>
      <w:lvlText w:val="•"/>
      <w:lvlJc w:val="left"/>
      <w:pPr>
        <w:ind w:left="3872" w:hanging="595"/>
      </w:pPr>
      <w:rPr>
        <w:rFonts w:hint="default"/>
        <w:lang w:val="lt" w:eastAsia="lt" w:bidi="lt"/>
      </w:rPr>
    </w:lvl>
    <w:lvl w:ilvl="4">
      <w:numFmt w:val="bullet"/>
      <w:lvlText w:val="•"/>
      <w:lvlJc w:val="left"/>
      <w:pPr>
        <w:ind w:left="4828" w:hanging="595"/>
      </w:pPr>
      <w:rPr>
        <w:rFonts w:hint="default"/>
        <w:lang w:val="lt" w:eastAsia="lt" w:bidi="lt"/>
      </w:rPr>
    </w:lvl>
    <w:lvl w:ilvl="5">
      <w:numFmt w:val="bullet"/>
      <w:lvlText w:val="•"/>
      <w:lvlJc w:val="left"/>
      <w:pPr>
        <w:ind w:left="5785" w:hanging="595"/>
      </w:pPr>
      <w:rPr>
        <w:rFonts w:hint="default"/>
        <w:lang w:val="lt" w:eastAsia="lt" w:bidi="lt"/>
      </w:rPr>
    </w:lvl>
    <w:lvl w:ilvl="6">
      <w:numFmt w:val="bullet"/>
      <w:lvlText w:val="•"/>
      <w:lvlJc w:val="left"/>
      <w:pPr>
        <w:ind w:left="6741" w:hanging="595"/>
      </w:pPr>
      <w:rPr>
        <w:rFonts w:hint="default"/>
        <w:lang w:val="lt" w:eastAsia="lt" w:bidi="lt"/>
      </w:rPr>
    </w:lvl>
    <w:lvl w:ilvl="7">
      <w:numFmt w:val="bullet"/>
      <w:lvlText w:val="•"/>
      <w:lvlJc w:val="left"/>
      <w:pPr>
        <w:ind w:left="7697" w:hanging="595"/>
      </w:pPr>
      <w:rPr>
        <w:rFonts w:hint="default"/>
        <w:lang w:val="lt" w:eastAsia="lt" w:bidi="lt"/>
      </w:rPr>
    </w:lvl>
    <w:lvl w:ilvl="8">
      <w:numFmt w:val="bullet"/>
      <w:lvlText w:val="•"/>
      <w:lvlJc w:val="left"/>
      <w:pPr>
        <w:ind w:left="8653" w:hanging="595"/>
      </w:pPr>
      <w:rPr>
        <w:rFonts w:hint="default"/>
        <w:lang w:val="lt" w:eastAsia="lt" w:bidi="lt"/>
      </w:rPr>
    </w:lvl>
  </w:abstractNum>
  <w:num w:numId="1" w16cid:durableId="1282298011">
    <w:abstractNumId w:val="0"/>
  </w:num>
  <w:num w:numId="2" w16cid:durableId="556355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255B4E"/>
    <w:rsid w:val="0012099C"/>
    <w:rsid w:val="00123890"/>
    <w:rsid w:val="001B1C1B"/>
    <w:rsid w:val="00255B4E"/>
    <w:rsid w:val="0030065E"/>
    <w:rsid w:val="00307F95"/>
    <w:rsid w:val="0034508B"/>
    <w:rsid w:val="003B0FCE"/>
    <w:rsid w:val="004C0AC2"/>
    <w:rsid w:val="005A6BCB"/>
    <w:rsid w:val="00726D19"/>
    <w:rsid w:val="007C196E"/>
    <w:rsid w:val="008340FB"/>
    <w:rsid w:val="009C7C67"/>
    <w:rsid w:val="00F40899"/>
    <w:rsid w:val="00FB4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68D273F"/>
  <w15:docId w15:val="{B1D2BE07-F36F-404D-9871-936F10A4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lt"/>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2" w:firstLine="566"/>
    </w:pPr>
    <w:rPr>
      <w:sz w:val="24"/>
      <w:szCs w:val="24"/>
    </w:rPr>
  </w:style>
  <w:style w:type="paragraph" w:styleId="ListParagraph">
    <w:name w:val="List Paragraph"/>
    <w:basedOn w:val="Normal"/>
    <w:uiPriority w:val="1"/>
    <w:qFormat/>
    <w:pPr>
      <w:ind w:left="822" w:firstLine="566"/>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mde.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aiskos.pantera.dev/" TargetMode="External"/><Relationship Id="rId5" Type="http://schemas.openxmlformats.org/officeDocument/2006/relationships/hyperlink" Target="http://tmde.lr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1738</Words>
  <Characters>9911</Characters>
  <Application>Microsoft Office Word</Application>
  <DocSecurity>0</DocSecurity>
  <Lines>82</Lines>
  <Paragraphs>23</Paragraphs>
  <ScaleCrop>false</ScaleCrop>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dc:creator>
  <cp:lastModifiedBy>Lionbridge</cp:lastModifiedBy>
  <cp:revision>16</cp:revision>
  <dcterms:created xsi:type="dcterms:W3CDTF">2023-03-29T08:06:00Z</dcterms:created>
  <dcterms:modified xsi:type="dcterms:W3CDTF">2023-04-18T13:33:00Z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2021-06-10T00:00:00Z</vt:filetime>
  </property>
  <property fmtid="{D5CDD505-2E9C-101B-9397-08002B2CF9AE}" pid="3" name="Creator">
    <vt:lpwstr>Microsoft® Word for Microsoft 365</vt:lpwstr>
  </property>
  <property fmtid="{D5CDD505-2E9C-101B-9397-08002B2CF9AE}" pid="4" name="LastSaved">
    <vt:filetime>2023-03-29T00:00:00Z</vt:filetime>
  </property>
</Properties>
</file>